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456EB8" w14:textId="5CA1D3FC" w:rsidR="00203F19" w:rsidRPr="008F786B" w:rsidRDefault="00203F19" w:rsidP="00203F1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Pr="008F786B">
        <w:rPr>
          <w:rFonts w:ascii="Arial" w:eastAsia="SimSun" w:hAnsi="Arial" w:cs="Times New Roman"/>
          <w:b/>
          <w:sz w:val="24"/>
          <w:szCs w:val="20"/>
        </w:rPr>
        <w:t>WG4 Meeting #113</w:t>
      </w:r>
      <w:r w:rsidRPr="008F786B">
        <w:rPr>
          <w:rFonts w:ascii="Arial" w:eastAsia="SimSun" w:hAnsi="Arial" w:cs="Times New Roman"/>
          <w:b/>
          <w:bCs/>
          <w:sz w:val="24"/>
          <w:szCs w:val="20"/>
        </w:rPr>
        <w:tab/>
      </w:r>
      <w:r w:rsidR="004E5659" w:rsidRPr="004E5659">
        <w:rPr>
          <w:rFonts w:ascii="Arial" w:eastAsia="SimSun" w:hAnsi="Arial" w:cs="Times New Roman"/>
          <w:b/>
          <w:bCs/>
          <w:sz w:val="24"/>
          <w:szCs w:val="20"/>
          <w:lang w:eastAsia="ja-JP"/>
        </w:rPr>
        <w:t>R4-2419631</w:t>
      </w:r>
    </w:p>
    <w:p w14:paraId="7AB575F0" w14:textId="77777777" w:rsidR="00203F19" w:rsidRDefault="00203F19" w:rsidP="00203F1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rPr>
      </w:pPr>
      <w:r w:rsidRPr="008F786B">
        <w:rPr>
          <w:rFonts w:ascii="Arial" w:eastAsia="SimSun" w:hAnsi="Arial" w:cs="Times New Roman"/>
          <w:b/>
          <w:sz w:val="24"/>
          <w:szCs w:val="20"/>
        </w:rPr>
        <w:t>Orlando, US, Nov 18</w:t>
      </w:r>
      <w:r>
        <w:rPr>
          <w:rFonts w:ascii="Arial" w:eastAsia="SimSun" w:hAnsi="Arial" w:cs="Times New Roman"/>
          <w:b/>
          <w:sz w:val="24"/>
          <w:szCs w:val="20"/>
        </w:rPr>
        <w:t>th</w:t>
      </w:r>
      <w:r w:rsidRPr="008F786B">
        <w:rPr>
          <w:rFonts w:ascii="Arial" w:eastAsia="SimSun" w:hAnsi="Arial" w:cs="Times New Roman"/>
          <w:b/>
          <w:sz w:val="24"/>
          <w:szCs w:val="20"/>
        </w:rPr>
        <w:t xml:space="preserve"> – Nov 22</w:t>
      </w:r>
      <w:r>
        <w:rPr>
          <w:rFonts w:ascii="Arial" w:eastAsia="SimSun" w:hAnsi="Arial" w:cs="Times New Roman"/>
          <w:b/>
          <w:sz w:val="24"/>
          <w:szCs w:val="20"/>
        </w:rPr>
        <w:t>nd</w:t>
      </w:r>
      <w:r w:rsidRPr="008F786B">
        <w:rPr>
          <w:rFonts w:ascii="Arial" w:eastAsia="SimSun" w:hAnsi="Arial" w:cs="Times New Roman"/>
          <w:b/>
          <w:sz w:val="24"/>
          <w:szCs w:val="20"/>
        </w:rPr>
        <w:t>, 2024</w:t>
      </w:r>
    </w:p>
    <w:p w14:paraId="7BAC7AE4" w14:textId="77777777" w:rsidR="004E5659" w:rsidRPr="008F786B" w:rsidRDefault="004E5659" w:rsidP="00203F1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AAD5F40"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82BECE5" w14:textId="3A4502FB"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04D57">
        <w:rPr>
          <w:rFonts w:ascii="Arial" w:eastAsia="Calibri" w:hAnsi="Arial" w:cs="Arial"/>
          <w:b/>
          <w:bCs/>
          <w:sz w:val="24"/>
          <w:lang w:val="en-US"/>
        </w:rPr>
        <w:t>Adapting NGSO requirements for RedCap support in Rel-19</w:t>
      </w:r>
    </w:p>
    <w:p w14:paraId="482BF471" w14:textId="5DE105DF" w:rsidR="00841BCD" w:rsidRPr="00304D57" w:rsidRDefault="00841BCD" w:rsidP="00841BCD">
      <w:pPr>
        <w:tabs>
          <w:tab w:val="left" w:pos="1985"/>
        </w:tabs>
        <w:spacing w:after="120" w:line="240" w:lineRule="auto"/>
        <w:rPr>
          <w:rFonts w:ascii="Arial" w:eastAsia="MS Mincho" w:hAnsi="Arial" w:cs="Arial"/>
          <w:b/>
          <w:bCs/>
          <w:sz w:val="24"/>
          <w:szCs w:val="20"/>
          <w:lang w:val="pt-BR"/>
        </w:rPr>
      </w:pPr>
      <w:r w:rsidRPr="00304D57">
        <w:rPr>
          <w:rFonts w:ascii="Arial" w:eastAsia="MS Mincho" w:hAnsi="Arial" w:cs="Arial"/>
          <w:b/>
          <w:bCs/>
          <w:sz w:val="24"/>
          <w:szCs w:val="20"/>
          <w:lang w:val="pt-BR"/>
        </w:rPr>
        <w:t>Agenda item:</w:t>
      </w:r>
      <w:r w:rsidRPr="00304D57">
        <w:rPr>
          <w:rFonts w:ascii="Arial" w:eastAsia="MS Mincho" w:hAnsi="Arial" w:cs="Arial"/>
          <w:b/>
          <w:bCs/>
          <w:sz w:val="24"/>
          <w:szCs w:val="20"/>
          <w:lang w:val="pt-BR"/>
        </w:rPr>
        <w:tab/>
      </w:r>
      <w:r w:rsidR="00203F19">
        <w:rPr>
          <w:rFonts w:ascii="Arial" w:eastAsia="MS Mincho" w:hAnsi="Arial" w:cs="Arial"/>
          <w:b/>
          <w:bCs/>
          <w:sz w:val="24"/>
          <w:szCs w:val="20"/>
          <w:lang w:val="pt-BR"/>
        </w:rPr>
        <w:t>7</w:t>
      </w:r>
      <w:r w:rsidR="00304D57" w:rsidRPr="00304D57">
        <w:rPr>
          <w:rFonts w:ascii="Arial" w:eastAsia="MS Mincho" w:hAnsi="Arial" w:cs="Arial"/>
          <w:b/>
          <w:bCs/>
          <w:sz w:val="24"/>
          <w:szCs w:val="20"/>
          <w:lang w:val="pt-BR"/>
        </w:rPr>
        <w:t>.26.4.1</w:t>
      </w:r>
    </w:p>
    <w:p w14:paraId="594D7894"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0C17A454" w14:textId="77777777" w:rsidR="00E323E9" w:rsidRPr="00614DD8" w:rsidRDefault="00E323E9" w:rsidP="00841BCD">
      <w:pPr>
        <w:tabs>
          <w:tab w:val="left" w:pos="1985"/>
        </w:tabs>
        <w:rPr>
          <w:rFonts w:ascii="Arial" w:eastAsia="Calibri" w:hAnsi="Arial" w:cs="Arial"/>
          <w:b/>
          <w:bCs/>
          <w:sz w:val="24"/>
          <w:lang w:val="en-US"/>
        </w:rPr>
      </w:pPr>
    </w:p>
    <w:p w14:paraId="0207E6D6"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26CA8F91" w14:textId="6518E98C" w:rsidR="00992CE7" w:rsidRDefault="00992CE7" w:rsidP="00992CE7">
      <w:pPr>
        <w:rPr>
          <w:lang w:val="en-US"/>
        </w:rPr>
      </w:pPr>
      <w:r>
        <w:rPr>
          <w:lang w:val="en-US"/>
        </w:rPr>
        <w:t xml:space="preserve">In </w:t>
      </w:r>
      <w:r>
        <w:rPr>
          <w:lang w:val="en-US"/>
        </w:rPr>
        <w:fldChar w:fldCharType="begin"/>
      </w:r>
      <w:r>
        <w:rPr>
          <w:lang w:val="en-US"/>
        </w:rPr>
        <w:instrText xml:space="preserve"> REF _Ref178945353 \r \h </w:instrText>
      </w:r>
      <w:r>
        <w:rPr>
          <w:lang w:val="en-US"/>
        </w:rPr>
      </w:r>
      <w:r>
        <w:rPr>
          <w:lang w:val="en-US"/>
        </w:rPr>
        <w:fldChar w:fldCharType="separate"/>
      </w:r>
      <w:r>
        <w:rPr>
          <w:lang w:val="en-US"/>
        </w:rPr>
        <w:t>[1]</w:t>
      </w:r>
      <w:r>
        <w:rPr>
          <w:lang w:val="en-US"/>
        </w:rPr>
        <w:fldChar w:fldCharType="end"/>
      </w:r>
      <w:r>
        <w:rPr>
          <w:lang w:val="en-US"/>
        </w:rPr>
        <w:t xml:space="preserve">, RAN plenary has approved a new WI for NTN, which will progress the effort of specification for NTN systems in 3GPP technologies in Rel-19 (NR_NTN_PH3). The most recent version of the WID can be found in </w:t>
      </w:r>
      <w:r>
        <w:rPr>
          <w:lang w:val="en-US"/>
        </w:rPr>
        <w:fldChar w:fldCharType="begin"/>
      </w:r>
      <w:r>
        <w:rPr>
          <w:lang w:val="en-US"/>
        </w:rPr>
        <w:instrText xml:space="preserve"> REF _Ref178945346 \r \h </w:instrText>
      </w:r>
      <w:r>
        <w:rPr>
          <w:lang w:val="en-US"/>
        </w:rPr>
      </w:r>
      <w:r>
        <w:rPr>
          <w:lang w:val="en-US"/>
        </w:rPr>
        <w:fldChar w:fldCharType="separate"/>
      </w:r>
      <w:r>
        <w:rPr>
          <w:lang w:val="en-US"/>
        </w:rPr>
        <w:t>[2]</w:t>
      </w:r>
      <w:r>
        <w:rPr>
          <w:lang w:val="en-US"/>
        </w:rPr>
        <w:fldChar w:fldCharType="end"/>
      </w:r>
      <w:r>
        <w:rPr>
          <w:lang w:val="en-US"/>
        </w:rPr>
        <w:t xml:space="preserve">. It includes a handful of objectives such as: </w:t>
      </w:r>
    </w:p>
    <w:p w14:paraId="43F27070" w14:textId="77777777" w:rsidR="00992CE7" w:rsidRDefault="00992CE7" w:rsidP="00992CE7">
      <w:pPr>
        <w:pStyle w:val="ListParagraph"/>
        <w:numPr>
          <w:ilvl w:val="0"/>
          <w:numId w:val="44"/>
        </w:numPr>
        <w:rPr>
          <w:lang w:val="en-US"/>
        </w:rPr>
      </w:pPr>
      <w:r>
        <w:rPr>
          <w:lang w:val="en-US"/>
        </w:rPr>
        <w:t xml:space="preserve">Downlink Coverage Enhancements </w:t>
      </w:r>
    </w:p>
    <w:p w14:paraId="46D04C75" w14:textId="77777777" w:rsidR="00992CE7" w:rsidRDefault="00992CE7" w:rsidP="00992CE7">
      <w:pPr>
        <w:pStyle w:val="ListParagraph"/>
        <w:numPr>
          <w:ilvl w:val="0"/>
          <w:numId w:val="44"/>
        </w:numPr>
        <w:rPr>
          <w:lang w:val="en-US"/>
        </w:rPr>
      </w:pPr>
      <w:r>
        <w:rPr>
          <w:lang w:val="en-US"/>
        </w:rPr>
        <w:t>Uplink Capacity/Coverage Enhancements</w:t>
      </w:r>
    </w:p>
    <w:p w14:paraId="40120131" w14:textId="77777777" w:rsidR="00992CE7" w:rsidRDefault="00992CE7" w:rsidP="00992CE7">
      <w:pPr>
        <w:pStyle w:val="ListParagraph"/>
        <w:numPr>
          <w:ilvl w:val="0"/>
          <w:numId w:val="44"/>
        </w:numPr>
        <w:rPr>
          <w:lang w:val="en-US"/>
        </w:rPr>
      </w:pPr>
      <w:r>
        <w:rPr>
          <w:lang w:val="en-US"/>
        </w:rPr>
        <w:t>Signaling of the intended service area of a broadcast service (MBS broadcast)</w:t>
      </w:r>
    </w:p>
    <w:p w14:paraId="0DC482BB" w14:textId="77777777" w:rsidR="00992CE7" w:rsidRDefault="00992CE7" w:rsidP="00992CE7">
      <w:pPr>
        <w:pStyle w:val="ListParagraph"/>
        <w:numPr>
          <w:ilvl w:val="0"/>
          <w:numId w:val="44"/>
        </w:numPr>
        <w:rPr>
          <w:lang w:val="en-US"/>
        </w:rPr>
      </w:pPr>
      <w:r>
        <w:rPr>
          <w:lang w:val="en-US"/>
        </w:rPr>
        <w:t>Support of regenerative payload for NTN systems</w:t>
      </w:r>
    </w:p>
    <w:p w14:paraId="46D7EFD0" w14:textId="77777777" w:rsidR="00992CE7" w:rsidRDefault="00992CE7" w:rsidP="00992CE7">
      <w:pPr>
        <w:pStyle w:val="ListParagraph"/>
        <w:numPr>
          <w:ilvl w:val="0"/>
          <w:numId w:val="44"/>
        </w:numPr>
        <w:rPr>
          <w:lang w:val="en-US"/>
        </w:rPr>
      </w:pPr>
      <w:r>
        <w:rPr>
          <w:lang w:val="en-US"/>
        </w:rPr>
        <w:t>Support of Rel-17 and Rel-18 RedCap and (e)RedCap UEs in NTN systems</w:t>
      </w:r>
    </w:p>
    <w:p w14:paraId="6517DB06" w14:textId="77777777" w:rsidR="00992CE7" w:rsidRDefault="00992CE7" w:rsidP="00992CE7">
      <w:pPr>
        <w:rPr>
          <w:lang w:val="en-US"/>
        </w:rPr>
      </w:pPr>
    </w:p>
    <w:p w14:paraId="5F3A5490" w14:textId="1AF84E57" w:rsidR="00992CE7" w:rsidRDefault="00992CE7" w:rsidP="00992CE7">
      <w:pPr>
        <w:rPr>
          <w:lang w:val="en-US"/>
        </w:rPr>
      </w:pPr>
      <w:r>
        <w:rPr>
          <w:lang w:val="en-US"/>
        </w:rPr>
        <w:t>This document is related to the 5</w:t>
      </w:r>
      <w:r w:rsidRPr="00992CE7">
        <w:rPr>
          <w:vertAlign w:val="superscript"/>
          <w:lang w:val="en-US"/>
        </w:rPr>
        <w:t>th</w:t>
      </w:r>
      <w:r>
        <w:rPr>
          <w:lang w:val="en-US"/>
        </w:rPr>
        <w:t xml:space="preserve"> topic on the list above: RedCap deployments over NTN. The discussions for this objective were initiated in the previous meeting RAN4 #112. And as the outcome of the discussion a way-forward (WF) document was approved which contains a set of agreements and other way-forward (for further discussion) guidance for currently identified open issues </w:t>
      </w:r>
      <w:r>
        <w:rPr>
          <w:lang w:val="en-US"/>
        </w:rPr>
        <w:fldChar w:fldCharType="begin"/>
      </w:r>
      <w:r>
        <w:rPr>
          <w:lang w:val="en-US"/>
        </w:rPr>
        <w:instrText xml:space="preserve"> REF _Ref179019130 \r \h </w:instrText>
      </w:r>
      <w:r>
        <w:rPr>
          <w:lang w:val="en-US"/>
        </w:rPr>
      </w:r>
      <w:r>
        <w:rPr>
          <w:lang w:val="en-US"/>
        </w:rPr>
        <w:fldChar w:fldCharType="separate"/>
      </w:r>
      <w:r>
        <w:rPr>
          <w:lang w:val="en-US"/>
        </w:rPr>
        <w:t>[3]</w:t>
      </w:r>
      <w:r>
        <w:rPr>
          <w:lang w:val="en-US"/>
        </w:rPr>
        <w:fldChar w:fldCharType="end"/>
      </w:r>
      <w:r>
        <w:rPr>
          <w:lang w:val="en-US"/>
        </w:rPr>
        <w:t xml:space="preserve">. </w:t>
      </w:r>
      <w:r w:rsidR="00203F19">
        <w:rPr>
          <w:lang w:val="en-US"/>
        </w:rPr>
        <w:t xml:space="preserve"> The discussions further ensued in RAN4 #112bis, which culminated in the WF found in </w:t>
      </w:r>
      <w:r w:rsidR="00203F19">
        <w:rPr>
          <w:lang w:val="en-US"/>
        </w:rPr>
        <w:fldChar w:fldCharType="begin"/>
      </w:r>
      <w:r w:rsidR="00203F19">
        <w:rPr>
          <w:lang w:val="en-US"/>
        </w:rPr>
        <w:instrText xml:space="preserve"> REF _Ref181977965 \r \h </w:instrText>
      </w:r>
      <w:r w:rsidR="00203F19">
        <w:rPr>
          <w:lang w:val="en-US"/>
        </w:rPr>
      </w:r>
      <w:r w:rsidR="00203F19">
        <w:rPr>
          <w:lang w:val="en-US"/>
        </w:rPr>
        <w:fldChar w:fldCharType="separate"/>
      </w:r>
      <w:r w:rsidR="00203F19">
        <w:rPr>
          <w:lang w:val="en-US"/>
        </w:rPr>
        <w:t>[4]</w:t>
      </w:r>
      <w:r w:rsidR="00203F19">
        <w:rPr>
          <w:lang w:val="en-US"/>
        </w:rPr>
        <w:fldChar w:fldCharType="end"/>
      </w:r>
      <w:r w:rsidR="00203F19">
        <w:rPr>
          <w:lang w:val="en-US"/>
        </w:rPr>
        <w:t>.</w:t>
      </w:r>
    </w:p>
    <w:p w14:paraId="5BCAFAEB" w14:textId="069C570C" w:rsidR="00992CE7" w:rsidRPr="00E42B45" w:rsidRDefault="00992CE7" w:rsidP="00992CE7">
      <w:pPr>
        <w:rPr>
          <w:lang w:val="en-US"/>
        </w:rPr>
      </w:pPr>
      <w:r>
        <w:rPr>
          <w:lang w:val="en-US"/>
        </w:rPr>
        <w:t xml:space="preserve">In this document we provide our views, related to the RAN4 impact of the introduction of RedCap over NTN considering the scope of this WI and/or the open issues already identified in the WF. </w:t>
      </w:r>
    </w:p>
    <w:p w14:paraId="042F5BB0" w14:textId="77777777" w:rsidR="00381F95" w:rsidRPr="00614DD8" w:rsidRDefault="00381F95" w:rsidP="005C23A4">
      <w:pPr>
        <w:rPr>
          <w:lang w:val="en-US"/>
        </w:rPr>
      </w:pPr>
    </w:p>
    <w:p w14:paraId="27DD2E68" w14:textId="77777777" w:rsidR="0060543D" w:rsidRPr="00614DD8" w:rsidRDefault="0060543D" w:rsidP="005C23A4">
      <w:pPr>
        <w:rPr>
          <w:lang w:val="en-US"/>
        </w:rPr>
      </w:pPr>
    </w:p>
    <w:p w14:paraId="6B4A107B" w14:textId="77777777" w:rsidR="003B659E" w:rsidRDefault="003B659E" w:rsidP="00AE56B1">
      <w:pPr>
        <w:pStyle w:val="RAN4H1"/>
        <w:rPr>
          <w:lang w:val="en-US"/>
        </w:rPr>
      </w:pPr>
      <w:bookmarkStart w:id="4" w:name="_Toc116995842"/>
      <w:r w:rsidRPr="00614DD8">
        <w:rPr>
          <w:lang w:val="en-US"/>
        </w:rPr>
        <w:t>Discussion</w:t>
      </w:r>
      <w:bookmarkEnd w:id="4"/>
    </w:p>
    <w:p w14:paraId="39539B85" w14:textId="0B987741" w:rsidR="00413893" w:rsidRDefault="00413893" w:rsidP="00413893">
      <w:pPr>
        <w:rPr>
          <w:lang w:val="en-US"/>
        </w:rPr>
      </w:pPr>
      <w:r w:rsidRPr="00413893">
        <w:rPr>
          <w:lang w:val="en-US"/>
        </w:rPr>
        <w:t> </w:t>
      </w:r>
      <w:r w:rsidR="00203F19">
        <w:rPr>
          <w:lang w:val="en-US"/>
        </w:rPr>
        <w:t xml:space="preserve">The present contribution will present our views in some of the currently identified open items presented in </w:t>
      </w:r>
      <w:r w:rsidR="00203F19">
        <w:rPr>
          <w:lang w:val="en-US"/>
        </w:rPr>
        <w:fldChar w:fldCharType="begin"/>
      </w:r>
      <w:r w:rsidR="00203F19">
        <w:rPr>
          <w:lang w:val="en-US"/>
        </w:rPr>
        <w:instrText xml:space="preserve"> REF _Ref181977965 \r \h </w:instrText>
      </w:r>
      <w:r w:rsidR="00203F19">
        <w:rPr>
          <w:lang w:val="en-US"/>
        </w:rPr>
      </w:r>
      <w:r w:rsidR="00203F19">
        <w:rPr>
          <w:lang w:val="en-US"/>
        </w:rPr>
        <w:fldChar w:fldCharType="separate"/>
      </w:r>
      <w:r w:rsidR="00203F19">
        <w:rPr>
          <w:lang w:val="en-US"/>
        </w:rPr>
        <w:t>[4]</w:t>
      </w:r>
      <w:r w:rsidR="00203F19">
        <w:rPr>
          <w:lang w:val="en-US"/>
        </w:rPr>
        <w:fldChar w:fldCharType="end"/>
      </w:r>
      <w:r w:rsidR="003F3A19">
        <w:rPr>
          <w:lang w:val="en-US"/>
        </w:rPr>
        <w:t xml:space="preserve"> </w:t>
      </w:r>
      <w:r w:rsidR="00203F19">
        <w:rPr>
          <w:lang w:val="en-US"/>
        </w:rPr>
        <w:fldChar w:fldCharType="begin"/>
      </w:r>
      <w:r w:rsidR="00203F19">
        <w:rPr>
          <w:lang w:val="en-US"/>
        </w:rPr>
        <w:instrText xml:space="preserve"> REF _Ref179019130 \r \h </w:instrText>
      </w:r>
      <w:r w:rsidR="00203F19">
        <w:rPr>
          <w:lang w:val="en-US"/>
        </w:rPr>
      </w:r>
      <w:r w:rsidR="00000000">
        <w:rPr>
          <w:lang w:val="en-US"/>
        </w:rPr>
        <w:fldChar w:fldCharType="separate"/>
      </w:r>
      <w:r w:rsidR="00203F19">
        <w:rPr>
          <w:lang w:val="en-US"/>
        </w:rPr>
        <w:fldChar w:fldCharType="end"/>
      </w:r>
      <w:r w:rsidR="00203F19">
        <w:rPr>
          <w:lang w:val="en-US"/>
        </w:rPr>
        <w:t>.</w:t>
      </w:r>
    </w:p>
    <w:p w14:paraId="19B738B4" w14:textId="0228BB8D" w:rsidR="003F3A19" w:rsidRDefault="00786EB2" w:rsidP="003F3A19">
      <w:pPr>
        <w:pStyle w:val="RAN4H2"/>
        <w:rPr>
          <w:lang w:val="en-US"/>
        </w:rPr>
      </w:pPr>
      <w:r>
        <w:rPr>
          <w:lang w:val="en-US"/>
        </w:rPr>
        <w:t xml:space="preserve">On </w:t>
      </w:r>
      <w:r w:rsidR="003F3A19">
        <w:rPr>
          <w:lang w:val="en-US"/>
        </w:rPr>
        <w:t xml:space="preserve">applicability of L3 measurements for (e)RedCap UE </w:t>
      </w:r>
    </w:p>
    <w:p w14:paraId="441625A9" w14:textId="5B6C042A" w:rsidR="003F3A19" w:rsidRDefault="003F3A19" w:rsidP="003F3A19">
      <w:pPr>
        <w:rPr>
          <w:lang w:val="en-US"/>
        </w:rPr>
      </w:pPr>
      <w:r>
        <w:rPr>
          <w:lang w:val="en-US"/>
        </w:rPr>
        <w:t>In RAN4 #112</w:t>
      </w:r>
      <w:r w:rsidR="0081767E">
        <w:rPr>
          <w:lang w:val="en-US"/>
        </w:rPr>
        <w:t>, companies agreed to introduce L3 measurement requirements associated to mobility for (e)RedCap UEs. But, in RAN#112bis, some companies asked for more clarification on what exactly would be the applicability of said requirements. The following WF was then agreed:</w:t>
      </w:r>
    </w:p>
    <w:tbl>
      <w:tblPr>
        <w:tblStyle w:val="TableGrid"/>
        <w:tblW w:w="0" w:type="auto"/>
        <w:tblLook w:val="04A0" w:firstRow="1" w:lastRow="0" w:firstColumn="1" w:lastColumn="0" w:noHBand="0" w:noVBand="1"/>
      </w:tblPr>
      <w:tblGrid>
        <w:gridCol w:w="9617"/>
      </w:tblGrid>
      <w:tr w:rsidR="0081767E" w14:paraId="6AFD110E" w14:textId="77777777" w:rsidTr="0081767E">
        <w:tc>
          <w:tcPr>
            <w:tcW w:w="9617" w:type="dxa"/>
          </w:tcPr>
          <w:p w14:paraId="6851F734" w14:textId="77777777" w:rsidR="0081767E" w:rsidRDefault="0081767E" w:rsidP="0081767E">
            <w:pPr>
              <w:pStyle w:val="Heading4"/>
              <w:spacing w:before="120" w:after="120"/>
              <w:rPr>
                <w:rFonts w:ascii="Times New Roman" w:hAnsi="Times New Roman" w:cs="Times New Roman"/>
                <w:u w:val="single"/>
                <w:lang w:eastAsia="ko-KR"/>
              </w:rPr>
            </w:pPr>
            <w:r>
              <w:rPr>
                <w:rFonts w:ascii="Times New Roman" w:hAnsi="Times New Roman" w:cs="Times New Roman"/>
                <w:u w:val="single"/>
                <w:lang w:eastAsia="ko-KR"/>
              </w:rPr>
              <w:lastRenderedPageBreak/>
              <w:t xml:space="preserve">Issue </w:t>
            </w:r>
            <w:r w:rsidRPr="00643C5E">
              <w:rPr>
                <w:rFonts w:ascii="Times New Roman" w:hAnsi="Times New Roman" w:cs="Times New Roman"/>
                <w:u w:val="single"/>
                <w:lang w:eastAsia="ko-KR"/>
              </w:rPr>
              <w:t>2</w:t>
            </w:r>
            <w:r>
              <w:rPr>
                <w:rFonts w:ascii="Times New Roman" w:hAnsi="Times New Roman" w:cs="Times New Roman"/>
                <w:u w:val="single"/>
                <w:lang w:eastAsia="ko-KR"/>
              </w:rPr>
              <w:t>-2-</w:t>
            </w:r>
            <w:r>
              <w:rPr>
                <w:rFonts w:ascii="Times New Roman" w:hAnsi="Times New Roman" w:cs="Times New Roman" w:hint="eastAsia"/>
                <w:u w:val="single"/>
                <w:lang w:eastAsia="ko-KR"/>
              </w:rPr>
              <w:t>2</w:t>
            </w:r>
            <w:r>
              <w:rPr>
                <w:rFonts w:ascii="Times New Roman" w:hAnsi="Times New Roman" w:cs="Times New Roman"/>
                <w:u w:val="single"/>
                <w:lang w:eastAsia="ko-KR"/>
              </w:rPr>
              <w:t xml:space="preserve">: </w:t>
            </w:r>
            <w:r>
              <w:rPr>
                <w:rFonts w:ascii="Times New Roman" w:hAnsi="Times New Roman" w:cs="Times New Roman" w:hint="eastAsia"/>
                <w:u w:val="single"/>
                <w:lang w:eastAsia="ko-KR"/>
              </w:rPr>
              <w:t>Further discussion on</w:t>
            </w:r>
            <w:r w:rsidRPr="00643C5E">
              <w:rPr>
                <w:rFonts w:ascii="Times New Roman" w:hAnsi="Times New Roman" w:cs="Times New Roman"/>
                <w:u w:val="single"/>
                <w:lang w:eastAsia="ko-KR"/>
              </w:rPr>
              <w:t xml:space="preserve"> </w:t>
            </w:r>
            <w:r>
              <w:rPr>
                <w:rFonts w:ascii="Times New Roman" w:hAnsi="Times New Roman" w:cs="Times New Roman"/>
                <w:u w:val="single"/>
                <w:lang w:eastAsia="ko-KR"/>
              </w:rPr>
              <w:t>L3 measurements</w:t>
            </w:r>
            <w:r>
              <w:rPr>
                <w:rFonts w:ascii="Times New Roman" w:hAnsi="Times New Roman" w:cs="Times New Roman" w:hint="eastAsia"/>
                <w:u w:val="single"/>
                <w:lang w:eastAsia="ko-KR"/>
              </w:rPr>
              <w:t xml:space="preserve"> </w:t>
            </w:r>
            <w:r>
              <w:rPr>
                <w:rFonts w:ascii="Times New Roman" w:hAnsi="Times New Roman" w:cs="Times New Roman"/>
                <w:u w:val="single"/>
                <w:lang w:eastAsia="ko-KR"/>
              </w:rPr>
              <w:t>for (e)RedCap UE with FR1-NTN</w:t>
            </w:r>
          </w:p>
          <w:p w14:paraId="2B857742" w14:textId="77777777" w:rsidR="0081767E" w:rsidRDefault="0081767E" w:rsidP="0081767E">
            <w:pPr>
              <w:spacing w:after="240"/>
              <w:rPr>
                <w:i/>
                <w:color w:val="0070C0"/>
                <w:lang w:eastAsia="zh-CN"/>
              </w:rPr>
            </w:pPr>
            <w:r>
              <w:rPr>
                <w:rFonts w:hint="eastAsia"/>
                <w:i/>
                <w:color w:val="0070C0"/>
              </w:rPr>
              <w:t xml:space="preserve">In the last meeting, RAN4 has agreed to defined the requirements of </w:t>
            </w:r>
            <w:r>
              <w:rPr>
                <w:i/>
                <w:color w:val="0070C0"/>
              </w:rPr>
              <w:t xml:space="preserve">NR intra-frequency </w:t>
            </w:r>
            <w:r>
              <w:rPr>
                <w:rFonts w:hint="eastAsia"/>
                <w:i/>
                <w:color w:val="0070C0"/>
              </w:rPr>
              <w:t xml:space="preserve">L3 </w:t>
            </w:r>
            <w:r>
              <w:rPr>
                <w:i/>
                <w:color w:val="0070C0"/>
              </w:rPr>
              <w:t>measurements</w:t>
            </w:r>
            <w:r>
              <w:rPr>
                <w:rFonts w:hint="eastAsia"/>
                <w:i/>
                <w:color w:val="0070C0"/>
              </w:rPr>
              <w:t xml:space="preserve"> and </w:t>
            </w:r>
            <w:r>
              <w:rPr>
                <w:i/>
                <w:color w:val="0070C0"/>
              </w:rPr>
              <w:t xml:space="preserve">NR inter-frequency </w:t>
            </w:r>
            <w:r>
              <w:rPr>
                <w:rFonts w:hint="eastAsia"/>
                <w:i/>
                <w:color w:val="0070C0"/>
              </w:rPr>
              <w:t xml:space="preserve">L3 </w:t>
            </w:r>
            <w:r>
              <w:rPr>
                <w:i/>
                <w:color w:val="0070C0"/>
              </w:rPr>
              <w:t>measurements</w:t>
            </w:r>
            <w:r>
              <w:rPr>
                <w:rFonts w:hint="eastAsia"/>
                <w:i/>
                <w:color w:val="0070C0"/>
              </w:rPr>
              <w:t>, the proposal is a f</w:t>
            </w:r>
            <w:r>
              <w:rPr>
                <w:i/>
                <w:color w:val="0070C0"/>
              </w:rPr>
              <w:t xml:space="preserve">urther </w:t>
            </w:r>
            <w:r>
              <w:rPr>
                <w:rFonts w:hint="eastAsia"/>
                <w:i/>
                <w:color w:val="0070C0"/>
              </w:rPr>
              <w:t>clarification</w:t>
            </w:r>
            <w:r>
              <w:rPr>
                <w:i/>
                <w:color w:val="0070C0"/>
              </w:rPr>
              <w:t xml:space="preserve"> on </w:t>
            </w:r>
            <w:r>
              <w:rPr>
                <w:rFonts w:hint="eastAsia"/>
                <w:i/>
                <w:color w:val="0070C0"/>
              </w:rPr>
              <w:t>t</w:t>
            </w:r>
            <w:r>
              <w:rPr>
                <w:i/>
                <w:color w:val="0070C0"/>
              </w:rPr>
              <w:t xml:space="preserve">he </w:t>
            </w:r>
            <w:r>
              <w:rPr>
                <w:rFonts w:hint="eastAsia"/>
                <w:i/>
                <w:color w:val="0070C0"/>
              </w:rPr>
              <w:t xml:space="preserve">supported </w:t>
            </w:r>
            <w:r>
              <w:rPr>
                <w:i/>
                <w:color w:val="0070C0"/>
              </w:rPr>
              <w:t>types of L3 measurements for (e)RedCap UEs with FR1-NTN</w:t>
            </w:r>
            <w:r>
              <w:rPr>
                <w:rFonts w:hint="eastAsia"/>
                <w:i/>
                <w:color w:val="0070C0"/>
              </w:rPr>
              <w:t>.</w:t>
            </w:r>
          </w:p>
          <w:p w14:paraId="3A3CF1FF" w14:textId="77777777" w:rsidR="0081767E" w:rsidRPr="00643C5E" w:rsidRDefault="0081767E" w:rsidP="0081767E">
            <w:pPr>
              <w:rPr>
                <w:rFonts w:eastAsiaTheme="minorEastAsia"/>
                <w:lang w:eastAsia="zh-CN"/>
              </w:rPr>
            </w:pPr>
            <w:r>
              <w:rPr>
                <w:b/>
              </w:rPr>
              <w:t>&lt;Way Forward&gt;</w:t>
            </w:r>
            <w:r>
              <w:rPr>
                <w:rFonts w:hint="eastAsia"/>
                <w:b/>
                <w:lang w:eastAsia="zh-CN"/>
              </w:rPr>
              <w:t>:</w:t>
            </w:r>
          </w:p>
          <w:p w14:paraId="4F1CA75E" w14:textId="77777777" w:rsidR="0081767E" w:rsidRDefault="0081767E" w:rsidP="0081767E">
            <w:pPr>
              <w:pStyle w:val="ListParagraph"/>
              <w:numPr>
                <w:ilvl w:val="0"/>
                <w:numId w:val="47"/>
              </w:numPr>
              <w:spacing w:after="120"/>
              <w:ind w:left="720"/>
              <w:contextualSpacing w:val="0"/>
            </w:pPr>
            <w:r>
              <w:t xml:space="preserve">Proposal </w:t>
            </w:r>
            <w:r>
              <w:rPr>
                <w:rFonts w:hint="eastAsia"/>
              </w:rPr>
              <w:t>1</w:t>
            </w:r>
            <w:r>
              <w:t xml:space="preserve"> (</w:t>
            </w:r>
            <w:r>
              <w:rPr>
                <w:rFonts w:hint="eastAsia"/>
              </w:rPr>
              <w:t>CATT</w:t>
            </w:r>
            <w:r>
              <w:t>):</w:t>
            </w:r>
            <w:r>
              <w:rPr>
                <w:rFonts w:hint="eastAsia"/>
              </w:rPr>
              <w:t xml:space="preserve"> </w:t>
            </w:r>
            <w:r>
              <w:t>RAN4 to define the requirements of the following types of L3 measurements for (e)RedCap UEs with FR1-NTN:</w:t>
            </w:r>
          </w:p>
          <w:p w14:paraId="194D91EC" w14:textId="77777777" w:rsidR="0081767E" w:rsidRPr="00643C5E" w:rsidRDefault="0081767E" w:rsidP="0081767E">
            <w:pPr>
              <w:pStyle w:val="ListParagraph"/>
              <w:numPr>
                <w:ilvl w:val="1"/>
                <w:numId w:val="47"/>
              </w:numPr>
              <w:spacing w:after="120"/>
              <w:contextualSpacing w:val="0"/>
              <w:rPr>
                <w:bCs/>
              </w:rPr>
            </w:pPr>
            <w:r w:rsidRPr="00643C5E">
              <w:rPr>
                <w:bCs/>
              </w:rPr>
              <w:t>Intra-frequency measurements without measurement gaps</w:t>
            </w:r>
          </w:p>
          <w:p w14:paraId="4FE3DD3B" w14:textId="77777777" w:rsidR="0081767E" w:rsidRPr="00643C5E" w:rsidRDefault="0081767E" w:rsidP="0081767E">
            <w:pPr>
              <w:pStyle w:val="ListParagraph"/>
              <w:numPr>
                <w:ilvl w:val="1"/>
                <w:numId w:val="47"/>
              </w:numPr>
              <w:spacing w:after="120"/>
              <w:contextualSpacing w:val="0"/>
              <w:rPr>
                <w:bCs/>
              </w:rPr>
            </w:pPr>
            <w:r w:rsidRPr="00643C5E">
              <w:rPr>
                <w:bCs/>
              </w:rPr>
              <w:t>Intra-frequency measurements with measurement gaps</w:t>
            </w:r>
          </w:p>
          <w:p w14:paraId="73AAF9BF" w14:textId="77777777" w:rsidR="0081767E" w:rsidRPr="00643C5E" w:rsidRDefault="0081767E" w:rsidP="0081767E">
            <w:pPr>
              <w:pStyle w:val="ListParagraph"/>
              <w:numPr>
                <w:ilvl w:val="1"/>
                <w:numId w:val="47"/>
              </w:numPr>
              <w:spacing w:after="120"/>
              <w:contextualSpacing w:val="0"/>
              <w:rPr>
                <w:bCs/>
              </w:rPr>
            </w:pPr>
            <w:r w:rsidRPr="00643C5E">
              <w:rPr>
                <w:bCs/>
              </w:rPr>
              <w:t xml:space="preserve">Inter-frequency </w:t>
            </w:r>
            <w:r w:rsidRPr="00643C5E">
              <w:rPr>
                <w:rFonts w:hint="eastAsia"/>
                <w:bCs/>
              </w:rPr>
              <w:t>measurement without measurement gaps</w:t>
            </w:r>
          </w:p>
          <w:p w14:paraId="013C0203" w14:textId="77777777" w:rsidR="0081767E" w:rsidRDefault="0081767E" w:rsidP="0081767E">
            <w:pPr>
              <w:pStyle w:val="ListParagraph"/>
              <w:numPr>
                <w:ilvl w:val="1"/>
                <w:numId w:val="47"/>
              </w:numPr>
              <w:spacing w:after="120"/>
              <w:contextualSpacing w:val="0"/>
              <w:rPr>
                <w:bCs/>
              </w:rPr>
            </w:pPr>
            <w:r w:rsidRPr="00643C5E">
              <w:rPr>
                <w:bCs/>
              </w:rPr>
              <w:t xml:space="preserve">Inter-frequency </w:t>
            </w:r>
            <w:r w:rsidRPr="00643C5E">
              <w:rPr>
                <w:rFonts w:hint="eastAsia"/>
                <w:bCs/>
              </w:rPr>
              <w:t>measurement with measurement gaps</w:t>
            </w:r>
          </w:p>
          <w:p w14:paraId="5762239D" w14:textId="77777777" w:rsidR="0081767E" w:rsidRPr="0081767E" w:rsidRDefault="0081767E" w:rsidP="003F3A19"/>
        </w:tc>
      </w:tr>
    </w:tbl>
    <w:p w14:paraId="4F091A6E" w14:textId="77777777" w:rsidR="0081767E" w:rsidRDefault="0081767E" w:rsidP="003F3A19">
      <w:pPr>
        <w:rPr>
          <w:lang w:val="en-US"/>
        </w:rPr>
      </w:pPr>
    </w:p>
    <w:p w14:paraId="214FA246" w14:textId="07112A14" w:rsidR="0081767E" w:rsidRDefault="0081767E" w:rsidP="00786EB2">
      <w:pPr>
        <w:rPr>
          <w:lang w:val="en-US"/>
        </w:rPr>
      </w:pPr>
      <w:r>
        <w:rPr>
          <w:lang w:val="en-US"/>
        </w:rPr>
        <w:t xml:space="preserve">From our point of view, it only makes sense if both, intra and inter frequency measurement gaps are considered. But also, in what regards the applicability or not of measurement gaps, they are a key part of the NTN operation, in order to enable measurements to be conducted across multiple satellites at once. </w:t>
      </w:r>
    </w:p>
    <w:p w14:paraId="54C7778C" w14:textId="0DBE0F41" w:rsidR="0081767E" w:rsidRDefault="0081767E" w:rsidP="00786EB2">
      <w:pPr>
        <w:rPr>
          <w:lang w:val="en-US"/>
        </w:rPr>
      </w:pPr>
      <w:r>
        <w:rPr>
          <w:lang w:val="en-US"/>
        </w:rPr>
        <w:t>Therefore, at least intra and inter frequency measurements with measurement gaps have to be supported. But once the support for measurement gaps has been agreed, it goes without saying that UEs that have the capability to perform measurements without gap will have enhanced performance in the network. Therefore, we propose:</w:t>
      </w:r>
    </w:p>
    <w:p w14:paraId="131EF9F8" w14:textId="7C4398BE" w:rsidR="0081767E" w:rsidRDefault="0081767E" w:rsidP="0081767E">
      <w:pPr>
        <w:pStyle w:val="RAN4proposal"/>
        <w:rPr>
          <w:lang w:val="en-US"/>
        </w:rPr>
      </w:pPr>
      <w:bookmarkStart w:id="5" w:name="_Toc181990338"/>
      <w:r>
        <w:rPr>
          <w:lang w:val="en-US"/>
        </w:rPr>
        <w:t>Confirm that L3 measurement requirements will be defined for intra and inter frequency measurements for both with/without measurement gaps.</w:t>
      </w:r>
      <w:bookmarkEnd w:id="5"/>
      <w:r>
        <w:rPr>
          <w:lang w:val="en-US"/>
        </w:rPr>
        <w:t xml:space="preserve"> </w:t>
      </w:r>
    </w:p>
    <w:p w14:paraId="0107F42A" w14:textId="77777777" w:rsidR="0081767E" w:rsidRPr="0081767E" w:rsidRDefault="0081767E" w:rsidP="0081767E">
      <w:pPr>
        <w:rPr>
          <w:lang w:val="en-US"/>
        </w:rPr>
      </w:pPr>
    </w:p>
    <w:p w14:paraId="02618007" w14:textId="77777777" w:rsidR="0081767E" w:rsidRDefault="0081767E" w:rsidP="00786EB2">
      <w:pPr>
        <w:rPr>
          <w:lang w:val="en-US"/>
        </w:rPr>
      </w:pPr>
    </w:p>
    <w:p w14:paraId="7C8D7ED2" w14:textId="3E7E5C0F" w:rsidR="0081767E" w:rsidRDefault="0081767E" w:rsidP="0081767E">
      <w:pPr>
        <w:pStyle w:val="RAN4H2"/>
        <w:rPr>
          <w:lang w:val="en-US"/>
        </w:rPr>
      </w:pPr>
      <w:r>
        <w:rPr>
          <w:lang w:val="en-US"/>
        </w:rPr>
        <w:t xml:space="preserve">On the relaxed measurements. </w:t>
      </w:r>
    </w:p>
    <w:p w14:paraId="2DAB4B33" w14:textId="77777777" w:rsidR="0081767E" w:rsidRPr="0081767E" w:rsidRDefault="0081767E" w:rsidP="0081767E">
      <w:pPr>
        <w:rPr>
          <w:lang w:val="en-US"/>
        </w:rPr>
      </w:pPr>
    </w:p>
    <w:p w14:paraId="5548FE17" w14:textId="2479CD90" w:rsidR="0081767E" w:rsidRPr="00637DD7" w:rsidRDefault="00637DD7" w:rsidP="00786EB2">
      <w:r>
        <w:rPr>
          <w:lang w:val="en-US"/>
        </w:rPr>
        <w:t xml:space="preserve">In what concerns the relaxation of measurements to be performed in idle mode by the UE, there is an ongoing discussion whether the relaxation of measurements shall follow “NR NTN” agreed relaxations (Rel-17) or whether the RedCap relaxations are to be defined. </w:t>
      </w:r>
    </w:p>
    <w:tbl>
      <w:tblPr>
        <w:tblStyle w:val="TableGrid"/>
        <w:tblW w:w="0" w:type="auto"/>
        <w:tblLook w:val="04A0" w:firstRow="1" w:lastRow="0" w:firstColumn="1" w:lastColumn="0" w:noHBand="0" w:noVBand="1"/>
      </w:tblPr>
      <w:tblGrid>
        <w:gridCol w:w="9617"/>
      </w:tblGrid>
      <w:tr w:rsidR="00637DD7" w14:paraId="459CEB4D" w14:textId="77777777" w:rsidTr="00637DD7">
        <w:tc>
          <w:tcPr>
            <w:tcW w:w="9617" w:type="dxa"/>
          </w:tcPr>
          <w:p w14:paraId="5E492996" w14:textId="77777777" w:rsidR="00637DD7" w:rsidRPr="00CE418A" w:rsidRDefault="00637DD7" w:rsidP="00637DD7">
            <w:pPr>
              <w:pStyle w:val="Heading4"/>
              <w:spacing w:before="120" w:after="120"/>
              <w:rPr>
                <w:rFonts w:ascii="Times New Roman" w:hAnsi="Times New Roman" w:cs="Times New Roman"/>
                <w:u w:val="single"/>
                <w:lang w:eastAsia="ko-KR"/>
              </w:rPr>
            </w:pPr>
            <w:r w:rsidRPr="00CE418A">
              <w:rPr>
                <w:rFonts w:ascii="Times New Roman" w:hAnsi="Times New Roman" w:cs="Times New Roman"/>
                <w:u w:val="single"/>
                <w:lang w:eastAsia="ko-KR"/>
              </w:rPr>
              <w:t>Issue 2-3-1: RedCap R17 relaxed measurement</w:t>
            </w:r>
          </w:p>
          <w:p w14:paraId="37CD579A" w14:textId="77777777" w:rsidR="00637DD7" w:rsidRPr="009100BB" w:rsidRDefault="00637DD7" w:rsidP="00637DD7">
            <w:pPr>
              <w:rPr>
                <w:i/>
                <w:iCs/>
                <w:color w:val="0070C0"/>
                <w:szCs w:val="24"/>
                <w:lang w:eastAsia="zh-CN"/>
              </w:rPr>
            </w:pPr>
            <w:r w:rsidRPr="009B2323">
              <w:rPr>
                <w:rFonts w:hint="eastAsia"/>
                <w:i/>
                <w:iCs/>
                <w:color w:val="0070C0"/>
                <w:szCs w:val="24"/>
                <w:lang w:eastAsia="zh-CN"/>
              </w:rPr>
              <w:t>O</w:t>
            </w:r>
            <w:r w:rsidRPr="009B2323">
              <w:rPr>
                <w:i/>
                <w:iCs/>
                <w:color w:val="0070C0"/>
                <w:szCs w:val="24"/>
                <w:lang w:eastAsia="zh-CN"/>
              </w:rPr>
              <w:t>nline agreement</w:t>
            </w:r>
          </w:p>
          <w:p w14:paraId="5BA68F4D" w14:textId="77777777" w:rsidR="00637DD7" w:rsidRPr="009100BB" w:rsidRDefault="00637DD7" w:rsidP="00637DD7">
            <w:pPr>
              <w:snapToGrid w:val="0"/>
              <w:rPr>
                <w:rFonts w:eastAsia="DengXian"/>
                <w:iCs/>
                <w:sz w:val="21"/>
                <w:szCs w:val="21"/>
                <w:highlight w:val="green"/>
                <w:lang w:eastAsia="zh-CN"/>
              </w:rPr>
            </w:pPr>
            <w:r>
              <w:rPr>
                <w:rFonts w:eastAsia="DengXian" w:hint="eastAsia"/>
                <w:iCs/>
                <w:sz w:val="21"/>
                <w:szCs w:val="21"/>
                <w:highlight w:val="green"/>
                <w:lang w:eastAsia="zh-CN"/>
              </w:rPr>
              <w:t>&lt;</w:t>
            </w:r>
            <w:r w:rsidRPr="009100BB">
              <w:rPr>
                <w:rFonts w:eastAsia="DengXian"/>
                <w:iCs/>
                <w:sz w:val="21"/>
                <w:szCs w:val="21"/>
                <w:highlight w:val="green"/>
                <w:lang w:eastAsia="zh-CN"/>
              </w:rPr>
              <w:t>Agreement</w:t>
            </w:r>
            <w:r>
              <w:rPr>
                <w:rFonts w:eastAsia="DengXian" w:hint="eastAsia"/>
                <w:iCs/>
                <w:sz w:val="21"/>
                <w:szCs w:val="21"/>
                <w:highlight w:val="green"/>
                <w:lang w:eastAsia="zh-CN"/>
              </w:rPr>
              <w:t>&gt;</w:t>
            </w:r>
            <w:r w:rsidRPr="009100BB">
              <w:rPr>
                <w:rFonts w:eastAsia="DengXian"/>
                <w:iCs/>
                <w:sz w:val="21"/>
                <w:szCs w:val="21"/>
                <w:highlight w:val="green"/>
                <w:lang w:eastAsia="zh-CN"/>
              </w:rPr>
              <w:t>:</w:t>
            </w:r>
          </w:p>
          <w:p w14:paraId="1FD46D71" w14:textId="77777777" w:rsidR="00637DD7" w:rsidRPr="00643C5E" w:rsidRDefault="00637DD7" w:rsidP="00637DD7">
            <w:pPr>
              <w:pStyle w:val="ListParagraph"/>
              <w:numPr>
                <w:ilvl w:val="0"/>
                <w:numId w:val="47"/>
              </w:numPr>
              <w:spacing w:after="120"/>
              <w:ind w:left="720"/>
              <w:contextualSpacing w:val="0"/>
            </w:pPr>
            <w:r w:rsidRPr="00643C5E">
              <w:t>FFS</w:t>
            </w:r>
            <w:r>
              <w:rPr>
                <w:rFonts w:hint="eastAsia"/>
                <w:lang w:eastAsia="zh-CN"/>
              </w:rPr>
              <w:t>:</w:t>
            </w:r>
            <w:r w:rsidRPr="00643C5E">
              <w:t xml:space="preserve"> R17 NR NTN relaxations in GSO (corresponding to the TN R16 relaxation) for normal UE are applicable for (e)RedCap UE with FR1-NTN bands.</w:t>
            </w:r>
          </w:p>
          <w:p w14:paraId="3377542E" w14:textId="77777777" w:rsidR="00637DD7" w:rsidRPr="00643C5E" w:rsidRDefault="00637DD7" w:rsidP="00637DD7">
            <w:pPr>
              <w:pStyle w:val="ListParagraph"/>
              <w:numPr>
                <w:ilvl w:val="0"/>
                <w:numId w:val="47"/>
              </w:numPr>
              <w:spacing w:after="120"/>
              <w:ind w:left="720"/>
              <w:contextualSpacing w:val="0"/>
            </w:pPr>
            <w:r w:rsidRPr="00643C5E">
              <w:t>FFS</w:t>
            </w:r>
            <w:r>
              <w:rPr>
                <w:rFonts w:hint="eastAsia"/>
                <w:lang w:eastAsia="zh-CN"/>
              </w:rPr>
              <w:t>:</w:t>
            </w:r>
            <w:r w:rsidRPr="00643C5E">
              <w:t xml:space="preserve"> RAN4 to define Rel-17 RedCap relaxed measurement requirements for cell reselection for (e)RedCap UE with FR1-NTN bands, and the corresponding requirements defined for RedCap UE can be the baseline.</w:t>
            </w:r>
          </w:p>
          <w:p w14:paraId="03E5312C" w14:textId="77777777" w:rsidR="00637DD7" w:rsidRDefault="00637DD7" w:rsidP="00637DD7">
            <w:pPr>
              <w:pStyle w:val="ListParagraph"/>
              <w:numPr>
                <w:ilvl w:val="1"/>
                <w:numId w:val="47"/>
              </w:numPr>
              <w:spacing w:after="120"/>
              <w:contextualSpacing w:val="0"/>
              <w:rPr>
                <w:bCs/>
              </w:rPr>
            </w:pPr>
            <w:r w:rsidRPr="00643C5E">
              <w:rPr>
                <w:bCs/>
              </w:rPr>
              <w:t>If defined, the requirements apply provided that target cell is GSO</w:t>
            </w:r>
          </w:p>
          <w:p w14:paraId="6408EDF0" w14:textId="77777777" w:rsidR="00637DD7" w:rsidRPr="00637DD7" w:rsidRDefault="00637DD7" w:rsidP="00786EB2"/>
        </w:tc>
      </w:tr>
    </w:tbl>
    <w:p w14:paraId="12C478CC" w14:textId="77777777" w:rsidR="00637DD7" w:rsidRDefault="00637DD7" w:rsidP="00786EB2">
      <w:pPr>
        <w:rPr>
          <w:lang w:val="en-US"/>
        </w:rPr>
      </w:pPr>
    </w:p>
    <w:p w14:paraId="21BB9E51" w14:textId="77777777" w:rsidR="00E17F7B" w:rsidRDefault="00637DD7" w:rsidP="00786EB2">
      <w:pPr>
        <w:rPr>
          <w:lang w:val="en-US"/>
        </w:rPr>
      </w:pPr>
      <w:r>
        <w:rPr>
          <w:lang w:val="en-US"/>
        </w:rPr>
        <w:t xml:space="preserve">RedCap relaxation scenarios include more relaxation cases than those observed for NR NTN by, for example introducing low mobility and stationary criteria. Although this adds to the flexibility of relaxation of measurements both type of measurements are not particularly useful for </w:t>
      </w:r>
      <w:r w:rsidR="00026733">
        <w:rPr>
          <w:lang w:val="en-US"/>
        </w:rPr>
        <w:t xml:space="preserve">NTN deployments. </w:t>
      </w:r>
    </w:p>
    <w:p w14:paraId="44D0B807" w14:textId="7B9C0470" w:rsidR="00E17F7B" w:rsidRDefault="00E17F7B" w:rsidP="00786EB2">
      <w:pPr>
        <w:rPr>
          <w:lang w:val="en-US"/>
        </w:rPr>
      </w:pPr>
      <w:r>
        <w:rPr>
          <w:lang w:val="en-US"/>
        </w:rPr>
        <w:t xml:space="preserve">First of all, as it has been discussed several times for Rel-17 and Rel-18, mobility evaluations based on RRM measurements (such as RSRP levels) are not good indicators of movement in NTN where the “near-far” effect in a cell is very limited (low variability of RSRP levels). Besides, if mobility levels are to be evaluated, for a NTN device </w:t>
      </w:r>
      <w:r>
        <w:rPr>
          <w:lang w:val="en-US"/>
        </w:rPr>
        <w:lastRenderedPageBreak/>
        <w:t xml:space="preserve">(RedCap or not), this has to be preferred to be performed using GNSS measurements, once they are already enabled for such devices. </w:t>
      </w:r>
    </w:p>
    <w:p w14:paraId="39DABA48" w14:textId="38B50321" w:rsidR="0081767E" w:rsidRDefault="00E17F7B" w:rsidP="00E17F7B">
      <w:pPr>
        <w:pStyle w:val="RAN4observation0"/>
        <w:rPr>
          <w:lang w:val="en-US"/>
        </w:rPr>
      </w:pPr>
      <w:bookmarkStart w:id="6" w:name="_Toc181990339"/>
      <w:r>
        <w:rPr>
          <w:lang w:val="en-US"/>
        </w:rPr>
        <w:t>In NTN, mobility measurements based on RSRP conditions are not good indicative of movement due to limited “near-far” effect.</w:t>
      </w:r>
      <w:bookmarkEnd w:id="6"/>
      <w:r w:rsidR="00637DD7">
        <w:rPr>
          <w:lang w:val="en-US"/>
        </w:rPr>
        <w:t xml:space="preserve"> </w:t>
      </w:r>
    </w:p>
    <w:p w14:paraId="564143AD" w14:textId="0F1CEED0" w:rsidR="00637DD7" w:rsidRDefault="00E17F7B" w:rsidP="00786EB2">
      <w:pPr>
        <w:rPr>
          <w:lang w:val="en-US"/>
        </w:rPr>
      </w:pPr>
      <w:r>
        <w:rPr>
          <w:lang w:val="en-US"/>
        </w:rPr>
        <w:t>Therefore, we propose:</w:t>
      </w:r>
    </w:p>
    <w:p w14:paraId="4BEF0AFD" w14:textId="7EB182B9" w:rsidR="00E17F7B" w:rsidRDefault="00E17F7B" w:rsidP="00E17F7B">
      <w:pPr>
        <w:pStyle w:val="RAN4proposal"/>
        <w:rPr>
          <w:lang w:val="en-US"/>
        </w:rPr>
      </w:pPr>
      <w:bookmarkStart w:id="7" w:name="_Toc181990340"/>
      <w:r>
        <w:rPr>
          <w:lang w:val="en-US"/>
        </w:rPr>
        <w:t>Adopt the R17 NR NTN Relaxations for GSO. Do not apply RedCap R18 relaxations.</w:t>
      </w:r>
      <w:bookmarkEnd w:id="7"/>
      <w:r>
        <w:rPr>
          <w:lang w:val="en-US"/>
        </w:rPr>
        <w:t xml:space="preserve"> </w:t>
      </w:r>
    </w:p>
    <w:p w14:paraId="05611B61" w14:textId="77777777" w:rsidR="00E17F7B" w:rsidRDefault="00E17F7B" w:rsidP="00E17F7B">
      <w:pPr>
        <w:rPr>
          <w:lang w:val="en-US"/>
        </w:rPr>
      </w:pPr>
    </w:p>
    <w:p w14:paraId="46579A5C" w14:textId="3025A55F" w:rsidR="000B058F" w:rsidRDefault="0071260B" w:rsidP="000B058F">
      <w:pPr>
        <w:pStyle w:val="RAN4H2"/>
        <w:rPr>
          <w:lang w:val="en-US"/>
        </w:rPr>
      </w:pPr>
      <w:r>
        <w:rPr>
          <w:lang w:val="en-US"/>
        </w:rPr>
        <w:t>On eDRX Configuration</w:t>
      </w:r>
    </w:p>
    <w:p w14:paraId="2B72866E" w14:textId="56376E1E" w:rsidR="0071260B" w:rsidRDefault="0071260B" w:rsidP="0071260B">
      <w:pPr>
        <w:rPr>
          <w:lang w:val="en-US"/>
        </w:rPr>
      </w:pPr>
      <w:r>
        <w:rPr>
          <w:lang w:val="en-US"/>
        </w:rPr>
        <w:t>In what relates to the applicability of eDRX configuration for RedCap UEs in NTN, companies agreed that for GSO scenarios, it would be ok to support all existing eDRX requirements, but there is still disagreement over the applicability of the requirements for LEO. +</w:t>
      </w:r>
    </w:p>
    <w:tbl>
      <w:tblPr>
        <w:tblStyle w:val="TableGrid"/>
        <w:tblW w:w="0" w:type="auto"/>
        <w:tblLook w:val="04A0" w:firstRow="1" w:lastRow="0" w:firstColumn="1" w:lastColumn="0" w:noHBand="0" w:noVBand="1"/>
      </w:tblPr>
      <w:tblGrid>
        <w:gridCol w:w="9617"/>
      </w:tblGrid>
      <w:tr w:rsidR="0071260B" w14:paraId="5FC17C5A" w14:textId="77777777" w:rsidTr="0071260B">
        <w:tc>
          <w:tcPr>
            <w:tcW w:w="9617" w:type="dxa"/>
          </w:tcPr>
          <w:p w14:paraId="6B0D9FD3" w14:textId="77777777" w:rsidR="0071260B" w:rsidRPr="00CE418A" w:rsidRDefault="0071260B" w:rsidP="0071260B">
            <w:pPr>
              <w:pStyle w:val="Heading4"/>
              <w:spacing w:before="120" w:after="120"/>
              <w:rPr>
                <w:rFonts w:ascii="Times New Roman" w:hAnsi="Times New Roman" w:cs="Times New Roman"/>
                <w:u w:val="single"/>
                <w:lang w:eastAsia="ko-KR"/>
              </w:rPr>
            </w:pPr>
            <w:r w:rsidRPr="0071260B">
              <w:rPr>
                <w:rFonts w:ascii="Times New Roman" w:hAnsi="Times New Roman" w:cs="Times New Roman"/>
                <w:u w:val="single"/>
                <w:lang w:eastAsia="ko-KR"/>
              </w:rPr>
              <w:t>Issue 2-3-2: eDRX configuration</w:t>
            </w:r>
          </w:p>
          <w:p w14:paraId="04B95353" w14:textId="77777777" w:rsidR="0071260B" w:rsidRPr="009100BB" w:rsidRDefault="0071260B" w:rsidP="0071260B">
            <w:pPr>
              <w:rPr>
                <w:i/>
                <w:iCs/>
                <w:color w:val="0070C0"/>
                <w:szCs w:val="24"/>
                <w:lang w:eastAsia="zh-CN"/>
              </w:rPr>
            </w:pPr>
            <w:r w:rsidRPr="009B2323">
              <w:rPr>
                <w:rFonts w:hint="eastAsia"/>
                <w:i/>
                <w:iCs/>
                <w:color w:val="0070C0"/>
                <w:szCs w:val="24"/>
                <w:lang w:eastAsia="zh-CN"/>
              </w:rPr>
              <w:t>O</w:t>
            </w:r>
            <w:r w:rsidRPr="009B2323">
              <w:rPr>
                <w:i/>
                <w:iCs/>
                <w:color w:val="0070C0"/>
                <w:szCs w:val="24"/>
                <w:lang w:eastAsia="zh-CN"/>
              </w:rPr>
              <w:t>nline agreement</w:t>
            </w:r>
          </w:p>
          <w:p w14:paraId="54BE3965" w14:textId="77777777" w:rsidR="0071260B" w:rsidRPr="009100BB" w:rsidRDefault="0071260B" w:rsidP="0071260B">
            <w:pPr>
              <w:snapToGrid w:val="0"/>
              <w:rPr>
                <w:rFonts w:eastAsia="DengXian"/>
                <w:iCs/>
                <w:sz w:val="21"/>
                <w:szCs w:val="21"/>
                <w:highlight w:val="green"/>
                <w:lang w:eastAsia="zh-CN"/>
              </w:rPr>
            </w:pPr>
            <w:r>
              <w:rPr>
                <w:rFonts w:eastAsia="DengXian" w:hint="eastAsia"/>
                <w:iCs/>
                <w:sz w:val="21"/>
                <w:szCs w:val="21"/>
                <w:highlight w:val="green"/>
                <w:lang w:eastAsia="zh-CN"/>
              </w:rPr>
              <w:t>&lt;</w:t>
            </w:r>
            <w:r w:rsidRPr="009100BB">
              <w:rPr>
                <w:rFonts w:eastAsia="DengXian"/>
                <w:iCs/>
                <w:sz w:val="21"/>
                <w:szCs w:val="21"/>
                <w:highlight w:val="green"/>
                <w:lang w:eastAsia="zh-CN"/>
              </w:rPr>
              <w:t>Agreement</w:t>
            </w:r>
            <w:r>
              <w:rPr>
                <w:rFonts w:eastAsia="DengXian" w:hint="eastAsia"/>
                <w:iCs/>
                <w:sz w:val="21"/>
                <w:szCs w:val="21"/>
                <w:highlight w:val="green"/>
                <w:lang w:eastAsia="zh-CN"/>
              </w:rPr>
              <w:t>&gt;</w:t>
            </w:r>
            <w:r w:rsidRPr="009100BB">
              <w:rPr>
                <w:rFonts w:eastAsia="DengXian"/>
                <w:iCs/>
                <w:sz w:val="21"/>
                <w:szCs w:val="21"/>
                <w:highlight w:val="green"/>
                <w:lang w:eastAsia="zh-CN"/>
              </w:rPr>
              <w:t>:</w:t>
            </w:r>
          </w:p>
          <w:p w14:paraId="20ACB1E8" w14:textId="77777777" w:rsidR="0071260B" w:rsidRPr="00643C5E" w:rsidRDefault="0071260B" w:rsidP="0071260B">
            <w:pPr>
              <w:pStyle w:val="ListParagraph"/>
              <w:numPr>
                <w:ilvl w:val="0"/>
                <w:numId w:val="47"/>
              </w:numPr>
              <w:snapToGrid w:val="0"/>
              <w:spacing w:after="120"/>
              <w:ind w:left="720"/>
              <w:contextualSpacing w:val="0"/>
              <w:rPr>
                <w:szCs w:val="21"/>
              </w:rPr>
            </w:pPr>
            <w:r w:rsidRPr="00643C5E">
              <w:rPr>
                <w:rFonts w:hint="eastAsia"/>
                <w:szCs w:val="21"/>
              </w:rPr>
              <w:t>For</w:t>
            </w:r>
            <w:r w:rsidRPr="00643C5E">
              <w:rPr>
                <w:szCs w:val="21"/>
              </w:rPr>
              <w:t xml:space="preserve"> GSO:</w:t>
            </w:r>
          </w:p>
          <w:p w14:paraId="1C31DF6F" w14:textId="77777777" w:rsidR="0071260B" w:rsidRPr="00E26067" w:rsidRDefault="0071260B" w:rsidP="0071260B">
            <w:pPr>
              <w:pStyle w:val="ListParagraph"/>
              <w:numPr>
                <w:ilvl w:val="1"/>
                <w:numId w:val="47"/>
              </w:numPr>
              <w:snapToGrid w:val="0"/>
              <w:spacing w:after="120"/>
              <w:contextualSpacing w:val="0"/>
              <w:rPr>
                <w:szCs w:val="21"/>
              </w:rPr>
            </w:pPr>
            <w:r w:rsidRPr="00E26067">
              <w:rPr>
                <w:szCs w:val="21"/>
              </w:rPr>
              <w:t>Define</w:t>
            </w:r>
            <w:r w:rsidRPr="00E26067">
              <w:rPr>
                <w:rFonts w:hint="eastAsia"/>
                <w:szCs w:val="21"/>
              </w:rPr>
              <w:t xml:space="preserve"> </w:t>
            </w:r>
            <w:r w:rsidRPr="00E26067">
              <w:rPr>
                <w:szCs w:val="21"/>
              </w:rPr>
              <w:t>eDRX related requirements</w:t>
            </w:r>
            <w:r w:rsidRPr="00E26067">
              <w:rPr>
                <w:rFonts w:hint="eastAsia"/>
                <w:szCs w:val="21"/>
              </w:rPr>
              <w:t xml:space="preserve"> </w:t>
            </w:r>
            <w:r w:rsidRPr="00E26067">
              <w:rPr>
                <w:szCs w:val="21"/>
              </w:rPr>
              <w:t>in RRC_Idle</w:t>
            </w:r>
            <w:r w:rsidRPr="00E26067" w:rsidDel="002D619E">
              <w:rPr>
                <w:rFonts w:hint="eastAsia"/>
                <w:szCs w:val="21"/>
              </w:rPr>
              <w:t xml:space="preserve"> </w:t>
            </w:r>
            <w:r w:rsidRPr="00E26067">
              <w:rPr>
                <w:rFonts w:hint="eastAsia"/>
                <w:szCs w:val="21"/>
              </w:rPr>
              <w:t xml:space="preserve">/ </w:t>
            </w:r>
            <w:r w:rsidRPr="00E26067">
              <w:rPr>
                <w:szCs w:val="21"/>
              </w:rPr>
              <w:t xml:space="preserve">RRC_Inactive mode </w:t>
            </w:r>
            <w:r w:rsidRPr="00E26067">
              <w:rPr>
                <w:rFonts w:hint="eastAsia"/>
                <w:szCs w:val="21"/>
              </w:rPr>
              <w:t xml:space="preserve">for </w:t>
            </w:r>
            <w:r w:rsidRPr="00E26067">
              <w:rPr>
                <w:szCs w:val="21"/>
              </w:rPr>
              <w:t>(e)RedCap UE with FR1-NTN.</w:t>
            </w:r>
          </w:p>
          <w:p w14:paraId="40556A1C" w14:textId="77777777" w:rsidR="0071260B" w:rsidRPr="00E26067" w:rsidRDefault="0071260B" w:rsidP="0071260B">
            <w:pPr>
              <w:pStyle w:val="ListParagraph"/>
              <w:numPr>
                <w:ilvl w:val="2"/>
                <w:numId w:val="47"/>
              </w:numPr>
              <w:snapToGrid w:val="0"/>
              <w:spacing w:after="120"/>
              <w:ind w:hanging="357"/>
              <w:contextualSpacing w:val="0"/>
              <w:rPr>
                <w:szCs w:val="21"/>
              </w:rPr>
            </w:pPr>
            <w:r w:rsidRPr="00E26067">
              <w:rPr>
                <w:szCs w:val="21"/>
              </w:rPr>
              <w:t xml:space="preserve">For </w:t>
            </w:r>
            <w:r w:rsidRPr="00E26067">
              <w:rPr>
                <w:rFonts w:hint="eastAsia"/>
                <w:szCs w:val="21"/>
              </w:rPr>
              <w:t>GSO,</w:t>
            </w:r>
            <w:r w:rsidRPr="00E26067">
              <w:rPr>
                <w:szCs w:val="21"/>
              </w:rPr>
              <w:t xml:space="preserve"> All DRX and eDRX cycle can be supported, and the DRX and eDRX related requirements for RedCap UE in TN are re-used. </w:t>
            </w:r>
          </w:p>
          <w:p w14:paraId="27D48446" w14:textId="77777777" w:rsidR="0071260B" w:rsidRDefault="0071260B" w:rsidP="0071260B">
            <w:pPr>
              <w:pStyle w:val="ListParagraph"/>
              <w:numPr>
                <w:ilvl w:val="0"/>
                <w:numId w:val="47"/>
              </w:numPr>
              <w:snapToGrid w:val="0"/>
              <w:spacing w:after="120"/>
              <w:ind w:left="720"/>
              <w:contextualSpacing w:val="0"/>
              <w:rPr>
                <w:szCs w:val="21"/>
              </w:rPr>
            </w:pPr>
            <w:r w:rsidRPr="00DE0E3A">
              <w:rPr>
                <w:rFonts w:hint="eastAsia"/>
                <w:szCs w:val="21"/>
              </w:rPr>
              <w:t>F</w:t>
            </w:r>
            <w:r w:rsidRPr="00DE0E3A">
              <w:rPr>
                <w:szCs w:val="21"/>
              </w:rPr>
              <w:t>urther discuss for LEO</w:t>
            </w:r>
            <w:r>
              <w:rPr>
                <w:rFonts w:hint="eastAsia"/>
                <w:szCs w:val="21"/>
                <w:lang w:eastAsia="zh-CN"/>
              </w:rPr>
              <w:t>.</w:t>
            </w:r>
          </w:p>
          <w:p w14:paraId="00EEAF23" w14:textId="77777777" w:rsidR="0071260B" w:rsidRDefault="0071260B" w:rsidP="0071260B">
            <w:pPr>
              <w:rPr>
                <w:lang w:val="en-US"/>
              </w:rPr>
            </w:pPr>
          </w:p>
        </w:tc>
      </w:tr>
    </w:tbl>
    <w:p w14:paraId="3321DBC1" w14:textId="77777777" w:rsidR="0071260B" w:rsidRDefault="0071260B" w:rsidP="0071260B">
      <w:pPr>
        <w:rPr>
          <w:lang w:val="en-US"/>
        </w:rPr>
      </w:pPr>
    </w:p>
    <w:p w14:paraId="7AD2734E" w14:textId="68E7A5EE" w:rsidR="0071260B" w:rsidRDefault="0071260B" w:rsidP="0071260B">
      <w:pPr>
        <w:rPr>
          <w:lang w:val="en-US"/>
        </w:rPr>
      </w:pPr>
      <w:r>
        <w:rPr>
          <w:lang w:val="en-US"/>
        </w:rPr>
        <w:t xml:space="preserve">This disagreement is justified because both sides have valid points. In one end, some companies argue that the eDRX cycle of 2.56 s have no applicable requirements under earth-moving scenarios. On the other end, other companies argue that this does not preclude the applicability of this eDRX cycle for quasi-earth fixed scenarios. </w:t>
      </w:r>
    </w:p>
    <w:p w14:paraId="2F941F08" w14:textId="268AA9D8" w:rsidR="0071260B" w:rsidRDefault="0071260B" w:rsidP="0071260B">
      <w:pPr>
        <w:rPr>
          <w:lang w:val="en-US"/>
        </w:rPr>
      </w:pPr>
      <w:r>
        <w:rPr>
          <w:lang w:val="en-US"/>
        </w:rPr>
        <w:t xml:space="preserve">The decision must be consistent across releases, such that NR NTN and REDCAP NTN UEs operate following the same logical principle. Therefore, no cycle length equal or superior to 2.56 s is to be supported in NTN for earth moving scenarios. </w:t>
      </w:r>
      <w:r w:rsidR="009828C2">
        <w:rPr>
          <w:lang w:val="en-US"/>
        </w:rPr>
        <w:t xml:space="preserve">But we agree that this does not preclude UEs in earth-fixed scenarios to support longer DRX Cycles. </w:t>
      </w:r>
    </w:p>
    <w:p w14:paraId="67F2C2F5" w14:textId="42EBD133" w:rsidR="009828C2" w:rsidRDefault="009828C2" w:rsidP="009828C2">
      <w:pPr>
        <w:pStyle w:val="RAN4proposal"/>
        <w:rPr>
          <w:lang w:val="en-US"/>
        </w:rPr>
      </w:pPr>
      <w:bookmarkStart w:id="8" w:name="_Toc181990341"/>
      <w:r>
        <w:rPr>
          <w:lang w:val="en-US"/>
        </w:rPr>
        <w:t>Support longer (e)DRX Cycles for LEO scenarios at least for Quasi-Earth Fixed cells.</w:t>
      </w:r>
      <w:bookmarkEnd w:id="8"/>
      <w:r>
        <w:rPr>
          <w:lang w:val="en-US"/>
        </w:rPr>
        <w:t xml:space="preserve"> </w:t>
      </w:r>
    </w:p>
    <w:p w14:paraId="7687AD7C" w14:textId="77777777" w:rsidR="0071260B" w:rsidRDefault="0071260B" w:rsidP="0071260B">
      <w:pPr>
        <w:rPr>
          <w:lang w:val="en-US"/>
        </w:rPr>
      </w:pPr>
    </w:p>
    <w:p w14:paraId="3743D831" w14:textId="2D7683F4" w:rsidR="0071260B" w:rsidRPr="0071260B" w:rsidRDefault="009828C2" w:rsidP="009828C2">
      <w:pPr>
        <w:pStyle w:val="RAN4H2"/>
        <w:rPr>
          <w:lang w:val="en-US"/>
        </w:rPr>
      </w:pPr>
      <w:r>
        <w:rPr>
          <w:lang w:val="en-US"/>
        </w:rPr>
        <w:t xml:space="preserve">On the impact of NR satellite switching with re-synchronization due to HD-FDD. </w:t>
      </w:r>
    </w:p>
    <w:p w14:paraId="074E2B48" w14:textId="77777777" w:rsidR="000B058F" w:rsidRDefault="000B058F" w:rsidP="000B058F">
      <w:pPr>
        <w:rPr>
          <w:lang w:val="en-US"/>
        </w:rPr>
      </w:pPr>
    </w:p>
    <w:p w14:paraId="748B7958" w14:textId="4FFBD74F" w:rsidR="000B058F" w:rsidRDefault="009828C2" w:rsidP="000B058F">
      <w:pPr>
        <w:rPr>
          <w:lang w:val="en-US"/>
        </w:rPr>
      </w:pPr>
      <w:r>
        <w:rPr>
          <w:lang w:val="en-US"/>
        </w:rPr>
        <w:t xml:space="preserve">In the previous meeting, a concern was raised about the impact of HD-FDD requirements for RedCap UEs. One of the features that could be potentially impacted is the satellite switching. </w:t>
      </w:r>
    </w:p>
    <w:tbl>
      <w:tblPr>
        <w:tblStyle w:val="TableGrid"/>
        <w:tblW w:w="0" w:type="auto"/>
        <w:tblLook w:val="04A0" w:firstRow="1" w:lastRow="0" w:firstColumn="1" w:lastColumn="0" w:noHBand="0" w:noVBand="1"/>
      </w:tblPr>
      <w:tblGrid>
        <w:gridCol w:w="9617"/>
      </w:tblGrid>
      <w:tr w:rsidR="009828C2" w14:paraId="31E3718E" w14:textId="77777777" w:rsidTr="009828C2">
        <w:tc>
          <w:tcPr>
            <w:tcW w:w="9617" w:type="dxa"/>
          </w:tcPr>
          <w:p w14:paraId="4EA6A31B" w14:textId="77777777" w:rsidR="009828C2" w:rsidRDefault="009828C2" w:rsidP="009828C2">
            <w:pPr>
              <w:pStyle w:val="Heading4"/>
              <w:spacing w:before="120" w:after="120"/>
              <w:rPr>
                <w:rFonts w:ascii="Times New Roman" w:hAnsi="Times New Roman" w:cs="Times New Roman"/>
                <w:u w:val="single"/>
                <w:lang w:eastAsia="zh-CN"/>
              </w:rPr>
            </w:pPr>
            <w:r w:rsidRPr="006861F1">
              <w:rPr>
                <w:rFonts w:ascii="Times New Roman" w:hAnsi="Times New Roman" w:cs="Times New Roman"/>
                <w:highlight w:val="yellow"/>
                <w:u w:val="single"/>
                <w:lang w:eastAsia="ko-KR"/>
              </w:rPr>
              <w:lastRenderedPageBreak/>
              <w:t xml:space="preserve">Issue </w:t>
            </w:r>
            <w:r w:rsidRPr="006861F1">
              <w:rPr>
                <w:rFonts w:ascii="Times New Roman" w:hAnsi="Times New Roman" w:cs="Times New Roman" w:hint="eastAsia"/>
                <w:highlight w:val="yellow"/>
                <w:u w:val="single"/>
                <w:lang w:eastAsia="ko-KR"/>
              </w:rPr>
              <w:t>4</w:t>
            </w:r>
            <w:r w:rsidRPr="006861F1">
              <w:rPr>
                <w:rFonts w:ascii="Times New Roman" w:hAnsi="Times New Roman" w:cs="Times New Roman"/>
                <w:highlight w:val="yellow"/>
                <w:u w:val="single"/>
                <w:lang w:eastAsia="ko-KR"/>
              </w:rPr>
              <w:t>-</w:t>
            </w:r>
            <w:r w:rsidRPr="006861F1">
              <w:rPr>
                <w:rFonts w:ascii="Times New Roman" w:hAnsi="Times New Roman" w:cs="Times New Roman" w:hint="eastAsia"/>
                <w:highlight w:val="yellow"/>
                <w:u w:val="single"/>
              </w:rPr>
              <w:t>2-2</w:t>
            </w:r>
            <w:r w:rsidRPr="006861F1">
              <w:rPr>
                <w:rFonts w:ascii="Times New Roman" w:hAnsi="Times New Roman" w:cs="Times New Roman"/>
                <w:highlight w:val="yellow"/>
                <w:u w:val="single"/>
                <w:lang w:eastAsia="ko-KR"/>
              </w:rPr>
              <w:t xml:space="preserve">: </w:t>
            </w:r>
            <w:r w:rsidRPr="006861F1">
              <w:rPr>
                <w:rFonts w:ascii="Times New Roman" w:hAnsi="Times New Roman" w:cs="Times New Roman" w:hint="eastAsia"/>
                <w:highlight w:val="yellow"/>
                <w:u w:val="single"/>
              </w:rPr>
              <w:t xml:space="preserve">The impact on </w:t>
            </w:r>
            <w:r w:rsidRPr="006861F1">
              <w:rPr>
                <w:rFonts w:ascii="Times New Roman" w:hAnsi="Times New Roman" w:cs="Times New Roman"/>
                <w:highlight w:val="yellow"/>
                <w:u w:val="single"/>
              </w:rPr>
              <w:t>NR Satellite switching with re-synchronization</w:t>
            </w:r>
            <w:r w:rsidRPr="006861F1">
              <w:rPr>
                <w:rFonts w:ascii="Times New Roman" w:hAnsi="Times New Roman" w:cs="Times New Roman" w:hint="eastAsia"/>
                <w:highlight w:val="yellow"/>
                <w:u w:val="single"/>
              </w:rPr>
              <w:t xml:space="preserve"> due to </w:t>
            </w:r>
            <w:r w:rsidRPr="006861F1">
              <w:rPr>
                <w:rFonts w:ascii="Times New Roman" w:hAnsi="Times New Roman" w:cs="Times New Roman"/>
                <w:highlight w:val="yellow"/>
                <w:u w:val="single"/>
                <w:lang w:eastAsia="ko-KR"/>
              </w:rPr>
              <w:t>HD-FDD</w:t>
            </w:r>
          </w:p>
          <w:p w14:paraId="69CC2A6F" w14:textId="77777777" w:rsidR="009828C2" w:rsidRPr="00FB7F2C" w:rsidRDefault="009828C2" w:rsidP="009828C2">
            <w:pPr>
              <w:rPr>
                <w:b/>
                <w:lang w:eastAsia="zh-CN"/>
              </w:rPr>
            </w:pPr>
            <w:r>
              <w:rPr>
                <w:b/>
              </w:rPr>
              <w:t>&lt;Way Forward&gt;</w:t>
            </w:r>
            <w:r>
              <w:rPr>
                <w:rFonts w:hint="eastAsia"/>
                <w:b/>
                <w:lang w:eastAsia="zh-CN"/>
              </w:rPr>
              <w:t>:</w:t>
            </w:r>
          </w:p>
          <w:p w14:paraId="5884C62E" w14:textId="77777777" w:rsidR="009828C2" w:rsidRPr="00FB7F2C" w:rsidRDefault="009828C2" w:rsidP="009828C2">
            <w:pPr>
              <w:pStyle w:val="ListParagraph"/>
              <w:numPr>
                <w:ilvl w:val="0"/>
                <w:numId w:val="47"/>
              </w:numPr>
              <w:spacing w:after="120"/>
              <w:ind w:left="720"/>
              <w:contextualSpacing w:val="0"/>
            </w:pPr>
            <w:r>
              <w:t>Proposal 1 (vivo): For requirements on NR Satellite switching with re-synchronization for Red-cap NTN, RAN4 to reuse the existing Satellite switching with re-synchronization requirements for NTN with adding the following applicability rules to adapt HD-FDD case:</w:t>
            </w:r>
          </w:p>
          <w:p w14:paraId="78B3B517" w14:textId="77777777" w:rsidR="009828C2" w:rsidRPr="00FB7F2C" w:rsidRDefault="009828C2" w:rsidP="009828C2">
            <w:pPr>
              <w:pStyle w:val="ListParagraph"/>
              <w:numPr>
                <w:ilvl w:val="1"/>
                <w:numId w:val="47"/>
              </w:numPr>
              <w:spacing w:after="120"/>
              <w:ind w:left="1655" w:hanging="357"/>
              <w:contextualSpacing w:val="0"/>
            </w:pPr>
            <w:r w:rsidRPr="00FB7F2C">
              <w:t xml:space="preserve">For RedCap NTN UE with HD-FDD, the Satellite switching with re-synchronization requirements are met provided that </w:t>
            </w:r>
          </w:p>
          <w:p w14:paraId="21372027" w14:textId="77777777" w:rsidR="009828C2" w:rsidRDefault="009828C2" w:rsidP="009828C2">
            <w:pPr>
              <w:pStyle w:val="ListParagraph"/>
              <w:numPr>
                <w:ilvl w:val="2"/>
                <w:numId w:val="47"/>
              </w:numPr>
              <w:rPr>
                <w:rFonts w:eastAsiaTheme="minorEastAsia"/>
                <w:iCs/>
              </w:rPr>
            </w:pPr>
            <w:r>
              <w:rPr>
                <w:rFonts w:eastAsiaTheme="minorEastAsia"/>
                <w:iCs/>
              </w:rPr>
              <w:t>SSB is available at the UE once every SMTC period during T</w:t>
            </w:r>
            <w:r>
              <w:rPr>
                <w:rFonts w:eastAsiaTheme="minorEastAsia"/>
                <w:iCs/>
                <w:vertAlign w:val="subscript"/>
              </w:rPr>
              <w:t>search</w:t>
            </w:r>
          </w:p>
          <w:p w14:paraId="5AD9481D" w14:textId="77777777" w:rsidR="009828C2" w:rsidRDefault="009828C2" w:rsidP="009828C2">
            <w:pPr>
              <w:pStyle w:val="ListParagraph"/>
              <w:numPr>
                <w:ilvl w:val="2"/>
                <w:numId w:val="47"/>
              </w:numPr>
              <w:rPr>
                <w:rFonts w:eastAsiaTheme="minorEastAsia"/>
                <w:iCs/>
              </w:rPr>
            </w:pPr>
            <w:r>
              <w:rPr>
                <w:rFonts w:eastAsiaTheme="minorEastAsia"/>
                <w:iCs/>
              </w:rPr>
              <w:t>One SSB is available during T</w:t>
            </w:r>
            <w:r>
              <w:rPr>
                <w:rFonts w:eastAsiaTheme="minorEastAsia"/>
                <w:iCs/>
                <w:vertAlign w:val="subscript"/>
              </w:rPr>
              <w:t>∆</w:t>
            </w:r>
          </w:p>
          <w:p w14:paraId="5CB07978" w14:textId="77777777" w:rsidR="009828C2" w:rsidRDefault="009828C2" w:rsidP="009828C2">
            <w:pPr>
              <w:pStyle w:val="ListParagraph"/>
              <w:numPr>
                <w:ilvl w:val="2"/>
                <w:numId w:val="47"/>
              </w:numPr>
              <w:rPr>
                <w:rFonts w:eastAsiaTheme="minorEastAsia"/>
                <w:iCs/>
              </w:rPr>
            </w:pPr>
            <w:r>
              <w:rPr>
                <w:rFonts w:eastAsiaTheme="minorEastAsia"/>
                <w:iCs/>
              </w:rPr>
              <w:t>One SSB is available during T</w:t>
            </w:r>
            <w:r>
              <w:rPr>
                <w:rFonts w:eastAsiaTheme="minorEastAsia"/>
                <w:iCs/>
                <w:vertAlign w:val="subscript"/>
              </w:rPr>
              <w:t>IU</w:t>
            </w:r>
            <w:r>
              <w:rPr>
                <w:rFonts w:eastAsiaTheme="minorEastAsia"/>
                <w:iCs/>
              </w:rPr>
              <w:t>.</w:t>
            </w:r>
          </w:p>
          <w:p w14:paraId="4D6EE210" w14:textId="77777777" w:rsidR="009828C2" w:rsidRPr="009828C2" w:rsidRDefault="009828C2" w:rsidP="000B058F"/>
        </w:tc>
      </w:tr>
    </w:tbl>
    <w:p w14:paraId="023D3394" w14:textId="77777777" w:rsidR="009828C2" w:rsidRDefault="009828C2" w:rsidP="000B058F">
      <w:pPr>
        <w:rPr>
          <w:lang w:val="en-US"/>
        </w:rPr>
      </w:pPr>
    </w:p>
    <w:p w14:paraId="136EEA1F" w14:textId="0C96704C" w:rsidR="000B058F" w:rsidRDefault="009828C2" w:rsidP="000B058F">
      <w:pPr>
        <w:rPr>
          <w:lang w:val="en-US"/>
        </w:rPr>
      </w:pPr>
      <w:r>
        <w:rPr>
          <w:lang w:val="en-US"/>
        </w:rPr>
        <w:t>This happens, as the UE might not be capable of transmit and receive at the same time, and transmission periods at the UE side would preclude the UE to perform measurements. This would make the requirements for satellite switching more complex and difficult to evaluate, as well as increasing the uncertainty on the exact point in time the UE is available for scheduling in the new satellite.</w:t>
      </w:r>
    </w:p>
    <w:p w14:paraId="0C2D4475" w14:textId="0DEA2F8F" w:rsidR="009828C2" w:rsidRDefault="009828C2" w:rsidP="009828C2">
      <w:pPr>
        <w:pStyle w:val="RAN4observation0"/>
        <w:rPr>
          <w:lang w:val="en-US"/>
        </w:rPr>
      </w:pPr>
      <w:bookmarkStart w:id="9" w:name="_Toc181990342"/>
      <w:r>
        <w:rPr>
          <w:lang w:val="en-US"/>
        </w:rPr>
        <w:t>In satellite switching operation, the UE does not perform RACH</w:t>
      </w:r>
      <w:r w:rsidR="00FE0E1C">
        <w:rPr>
          <w:lang w:val="en-US"/>
        </w:rPr>
        <w:t xml:space="preserve">; </w:t>
      </w:r>
      <w:r>
        <w:rPr>
          <w:lang w:val="en-US"/>
        </w:rPr>
        <w:t>increasing the uncertainty in the time the UE leads to perform the measurements will increase the uncertainty on the network scheduling side.</w:t>
      </w:r>
      <w:bookmarkEnd w:id="9"/>
      <w:r>
        <w:rPr>
          <w:lang w:val="en-US"/>
        </w:rPr>
        <w:t xml:space="preserve"> </w:t>
      </w:r>
    </w:p>
    <w:p w14:paraId="23C26A6B" w14:textId="2A6C3A57" w:rsidR="009828C2" w:rsidRDefault="009828C2" w:rsidP="009828C2">
      <w:pPr>
        <w:rPr>
          <w:lang w:val="en-US"/>
        </w:rPr>
      </w:pPr>
      <w:r>
        <w:rPr>
          <w:lang w:val="en-US"/>
        </w:rPr>
        <w:t xml:space="preserve">In order to avoid that, the simple scenario is to adopt only “hard satellite switch” for RedCap UEs, </w:t>
      </w:r>
      <w:r w:rsidR="00BF67EE">
        <w:rPr>
          <w:lang w:val="en-US"/>
        </w:rPr>
        <w:t xml:space="preserve">in this manner, in the period where the UE performs measurements, it is well known that no uplink transmissions are to be performed. </w:t>
      </w:r>
    </w:p>
    <w:p w14:paraId="459E781F" w14:textId="473721CD" w:rsidR="00BF67EE" w:rsidRPr="009828C2" w:rsidRDefault="00BF67EE" w:rsidP="00BF67EE">
      <w:pPr>
        <w:pStyle w:val="RAN4proposal"/>
        <w:rPr>
          <w:lang w:val="en-US"/>
        </w:rPr>
      </w:pPr>
      <w:bookmarkStart w:id="10" w:name="_Toc181990343"/>
      <w:r>
        <w:rPr>
          <w:lang w:val="en-US"/>
        </w:rPr>
        <w:t>Only support hard satellite switching for RedCap UEs</w:t>
      </w:r>
      <w:bookmarkEnd w:id="10"/>
    </w:p>
    <w:p w14:paraId="40BC5B0B" w14:textId="77777777" w:rsidR="000B058F" w:rsidRDefault="000B058F" w:rsidP="000B058F">
      <w:pPr>
        <w:rPr>
          <w:lang w:val="en-US"/>
        </w:rPr>
      </w:pPr>
    </w:p>
    <w:p w14:paraId="6037C413" w14:textId="77777777" w:rsidR="000B058F" w:rsidRDefault="000B058F" w:rsidP="000B058F">
      <w:pPr>
        <w:rPr>
          <w:lang w:val="en-US"/>
        </w:rPr>
      </w:pPr>
    </w:p>
    <w:p w14:paraId="6A07E8F2" w14:textId="6CBC9D30" w:rsidR="00413893" w:rsidRDefault="00413893" w:rsidP="00992CE7">
      <w:pPr>
        <w:pStyle w:val="RAN4H2"/>
        <w:rPr>
          <w:lang w:val="en-US"/>
        </w:rPr>
      </w:pPr>
      <w:r w:rsidRPr="00413893">
        <w:rPr>
          <w:lang w:val="en-US"/>
        </w:rPr>
        <w:t> </w:t>
      </w:r>
      <w:r w:rsidR="00992CE7">
        <w:rPr>
          <w:lang w:val="en-US"/>
        </w:rPr>
        <w:t xml:space="preserve">On the specification structure </w:t>
      </w:r>
      <w:r w:rsidR="00C5751D">
        <w:rPr>
          <w:lang w:val="en-US"/>
        </w:rPr>
        <w:t>and RedCap applicability</w:t>
      </w:r>
    </w:p>
    <w:p w14:paraId="13B875AD" w14:textId="11810031" w:rsidR="00992CE7" w:rsidRDefault="00992CE7" w:rsidP="00992CE7">
      <w:pPr>
        <w:rPr>
          <w:lang w:val="en-US"/>
        </w:rPr>
      </w:pPr>
      <w:r>
        <w:rPr>
          <w:lang w:val="en-US"/>
        </w:rPr>
        <w:t xml:space="preserve">Another topic was discussed in the WF is related to the specification structure. There are currently  discussions whether the RedCap over NTN shall be captured under a new suffix (e.g. E) or whether it should be new subclauses to the NTN clauses in TS 38.133. This was discussed in Issue 6-8-1 in </w:t>
      </w:r>
      <w:r>
        <w:rPr>
          <w:lang w:val="en-US"/>
        </w:rPr>
        <w:fldChar w:fldCharType="begin"/>
      </w:r>
      <w:r>
        <w:rPr>
          <w:lang w:val="en-US"/>
        </w:rPr>
        <w:instrText xml:space="preserve"> REF _Ref179019130 \r \h </w:instrText>
      </w:r>
      <w:r>
        <w:rPr>
          <w:lang w:val="en-US"/>
        </w:rPr>
      </w:r>
      <w:r>
        <w:rPr>
          <w:lang w:val="en-US"/>
        </w:rPr>
        <w:fldChar w:fldCharType="separate"/>
      </w:r>
      <w:r>
        <w:rPr>
          <w:lang w:val="en-US"/>
        </w:rPr>
        <w:t>[3]</w:t>
      </w:r>
      <w:r>
        <w:rPr>
          <w:lang w:val="en-US"/>
        </w:rPr>
        <w:fldChar w:fldCharType="end"/>
      </w:r>
      <w:r>
        <w:rPr>
          <w:lang w:val="en-US"/>
        </w:rPr>
        <w:t xml:space="preserve">. </w:t>
      </w:r>
    </w:p>
    <w:p w14:paraId="37990324" w14:textId="63F09A59" w:rsidR="00992CE7" w:rsidRDefault="00C5751D" w:rsidP="00992CE7">
      <w:pPr>
        <w:rPr>
          <w:lang w:val="en-US"/>
        </w:rPr>
      </w:pPr>
      <w:r>
        <w:rPr>
          <w:lang w:val="en-US"/>
        </w:rPr>
        <w:t>Among the proposed options, in order to minimize the specification effort and the size of the specification, but still maintaining coherence and completeness of the specification, we would prefer that RedCap subclauses are inserted as subsections of NTN section (suffix C).</w:t>
      </w:r>
    </w:p>
    <w:p w14:paraId="5B370B45" w14:textId="19E1DAFA" w:rsidR="00C5751D" w:rsidRDefault="00C5751D" w:rsidP="00C5751D">
      <w:pPr>
        <w:pStyle w:val="RAN4proposal"/>
        <w:rPr>
          <w:lang w:val="en-US"/>
        </w:rPr>
      </w:pPr>
      <w:bookmarkStart w:id="11" w:name="_Toc181990344"/>
      <w:r>
        <w:rPr>
          <w:lang w:val="en-US"/>
        </w:rPr>
        <w:t>Adopt RedCap subclauses under NTN sections (under Suffix C).</w:t>
      </w:r>
      <w:bookmarkEnd w:id="11"/>
      <w:r>
        <w:rPr>
          <w:lang w:val="en-US"/>
        </w:rPr>
        <w:t xml:space="preserve"> </w:t>
      </w:r>
    </w:p>
    <w:p w14:paraId="73B46209" w14:textId="4A5B8256" w:rsidR="00C5751D" w:rsidRDefault="00C5751D" w:rsidP="00C5751D">
      <w:pPr>
        <w:rPr>
          <w:lang w:val="en-US"/>
        </w:rPr>
      </w:pPr>
      <w:r>
        <w:rPr>
          <w:lang w:val="en-US"/>
        </w:rPr>
        <w:t xml:space="preserve">But another thing that needs to be discussed is the applicability of the requirements for RedCap operation under NTN. For a UE to support this feature (RedCap over NTN), it has to support RedCap features and NTN features. There are therefore, two options to declare such capabilities: </w:t>
      </w:r>
    </w:p>
    <w:p w14:paraId="373610AD" w14:textId="49C215B9" w:rsidR="00C5751D" w:rsidRPr="00CA0833" w:rsidRDefault="00C5751D" w:rsidP="00CA0833">
      <w:pPr>
        <w:pStyle w:val="ListParagraph"/>
        <w:numPr>
          <w:ilvl w:val="0"/>
          <w:numId w:val="45"/>
        </w:numPr>
        <w:rPr>
          <w:b/>
          <w:i/>
          <w:lang w:val="en-US"/>
        </w:rPr>
      </w:pPr>
      <w:r w:rsidRPr="00C5751D">
        <w:rPr>
          <w:lang w:val="en-US"/>
        </w:rPr>
        <w:t>Option A: Declare support of RedCap (</w:t>
      </w:r>
      <w:r w:rsidRPr="00C5751D">
        <w:rPr>
          <w:b/>
          <w:bCs/>
          <w:i/>
          <w:iCs/>
        </w:rPr>
        <w:t xml:space="preserve">supportOfRedCap-r17 </w:t>
      </w:r>
      <w:r>
        <w:t xml:space="preserve">or </w:t>
      </w:r>
      <w:r w:rsidRPr="00C5751D">
        <w:rPr>
          <w:b/>
          <w:bCs/>
          <w:i/>
          <w:iCs/>
          <w:lang w:val="en-US"/>
        </w:rPr>
        <w:t>supportOfERedCap-r18</w:t>
      </w:r>
      <w:r w:rsidRPr="00C5751D">
        <w:rPr>
          <w:lang w:val="en-US"/>
        </w:rPr>
        <w:t>) AND declare support of NTN (</w:t>
      </w:r>
      <w:r w:rsidR="00CA0833" w:rsidRPr="00CA0833">
        <w:rPr>
          <w:b/>
          <w:i/>
          <w:lang w:val="en-US"/>
        </w:rPr>
        <w:t>nonTerrestrialNetwork-r17</w:t>
      </w:r>
      <w:r w:rsidRPr="00CA0833">
        <w:rPr>
          <w:lang w:val="en-US"/>
        </w:rPr>
        <w:t>)</w:t>
      </w:r>
    </w:p>
    <w:p w14:paraId="1E083A24" w14:textId="77B907DA" w:rsidR="00C5751D" w:rsidRDefault="00C5751D" w:rsidP="00C5751D">
      <w:pPr>
        <w:pStyle w:val="ListParagraph"/>
        <w:numPr>
          <w:ilvl w:val="0"/>
          <w:numId w:val="45"/>
        </w:numPr>
      </w:pPr>
      <w:r w:rsidRPr="00C5751D">
        <w:t xml:space="preserve">Option B: Declare explicitly – via a new </w:t>
      </w:r>
      <w:r>
        <w:t>capability – the support to RedCap over NTN.</w:t>
      </w:r>
    </w:p>
    <w:p w14:paraId="5AE394A7" w14:textId="2FDF462A" w:rsidR="00CA0833" w:rsidRDefault="00CA0833" w:rsidP="00CA0833">
      <w:r>
        <w:t>Both options have their pros and cons (flexibility versus capability signalling overhead). Therefore, we would like to introduce this discussion in RAN4 and propose:</w:t>
      </w:r>
    </w:p>
    <w:p w14:paraId="6D2352E9" w14:textId="65BF48BB" w:rsidR="00CA0833" w:rsidRPr="00C5751D" w:rsidRDefault="00CA0833" w:rsidP="00CA0833">
      <w:pPr>
        <w:pStyle w:val="RAN4proposal"/>
      </w:pPr>
      <w:bookmarkStart w:id="12" w:name="_Toc181990345"/>
      <w:r>
        <w:t xml:space="preserve">RAN4 to discuss whether a new capability is needed to declare RedCap support of NTN or whether this support is implicit from declaring </w:t>
      </w:r>
      <w:r w:rsidRPr="00C5751D">
        <w:rPr>
          <w:lang w:val="en-US"/>
        </w:rPr>
        <w:t>support of RedCap (</w:t>
      </w:r>
      <w:r w:rsidRPr="00C5751D">
        <w:rPr>
          <w:bCs/>
          <w:i/>
        </w:rPr>
        <w:t xml:space="preserve">supportOfRedCap-r17 </w:t>
      </w:r>
      <w:r>
        <w:t xml:space="preserve">or </w:t>
      </w:r>
      <w:r w:rsidRPr="00C5751D">
        <w:rPr>
          <w:bCs/>
          <w:i/>
          <w:lang w:val="en-US"/>
        </w:rPr>
        <w:t>supportOfERedCap-r18</w:t>
      </w:r>
      <w:r w:rsidRPr="00C5751D">
        <w:rPr>
          <w:lang w:val="en-US"/>
        </w:rPr>
        <w:t>) AND declare support of NTN (</w:t>
      </w:r>
      <w:r w:rsidRPr="00CA0833">
        <w:rPr>
          <w:i/>
          <w:lang w:val="en-US"/>
        </w:rPr>
        <w:t>nonTerrestrialNetwork-r17</w:t>
      </w:r>
      <w:r w:rsidRPr="00CA0833">
        <w:rPr>
          <w:lang w:val="en-US"/>
        </w:rPr>
        <w:t>)</w:t>
      </w:r>
      <w:bookmarkEnd w:id="12"/>
    </w:p>
    <w:p w14:paraId="13671EEF" w14:textId="77777777" w:rsidR="00B66B7D" w:rsidRDefault="00B66B7D" w:rsidP="00B66B7D">
      <w:pPr>
        <w:rPr>
          <w:lang w:val="en-US"/>
        </w:rPr>
      </w:pPr>
    </w:p>
    <w:p w14:paraId="3AC34243" w14:textId="77777777" w:rsidR="0060543D" w:rsidRPr="00614DD8" w:rsidRDefault="0060543D" w:rsidP="0060543D">
      <w:pPr>
        <w:rPr>
          <w:lang w:val="en-US"/>
        </w:rPr>
      </w:pPr>
    </w:p>
    <w:p w14:paraId="5D9C468B" w14:textId="2EE22BA8" w:rsidR="00893D2E" w:rsidRPr="00614DD8" w:rsidRDefault="00893D2E">
      <w:pPr>
        <w:rPr>
          <w:rFonts w:ascii="Arial" w:eastAsia="SimSun" w:hAnsi="Arial" w:cs="Times New Roman"/>
          <w:sz w:val="36"/>
          <w:szCs w:val="20"/>
          <w:lang w:val="en-US"/>
        </w:rPr>
      </w:pPr>
      <w:bookmarkStart w:id="13" w:name="_Toc116995848"/>
    </w:p>
    <w:p w14:paraId="4F4B1CA2" w14:textId="77777777" w:rsidR="00CD7492" w:rsidRPr="00614DD8" w:rsidRDefault="00CD7492" w:rsidP="00A37002">
      <w:pPr>
        <w:pStyle w:val="RAN4H1"/>
        <w:rPr>
          <w:lang w:val="en-US"/>
        </w:rPr>
      </w:pPr>
      <w:r w:rsidRPr="00614DD8">
        <w:rPr>
          <w:lang w:val="en-US"/>
        </w:rPr>
        <w:t>Conclusion</w:t>
      </w:r>
      <w:bookmarkEnd w:id="13"/>
    </w:p>
    <w:p w14:paraId="0F966066" w14:textId="3CC80DCD" w:rsidR="00381F95" w:rsidRPr="00614DD8" w:rsidRDefault="00953DC0" w:rsidP="00936159">
      <w:pPr>
        <w:rPr>
          <w:lang w:val="en-US"/>
        </w:rPr>
      </w:pPr>
      <w:r>
        <w:rPr>
          <w:lang w:val="en-US"/>
        </w:rPr>
        <w:t>This paper has discussed the open issues on the specification of requirements for RedCap operations in FR1-NTN. Based on our investigations the following observations and proposals were made:</w:t>
      </w:r>
    </w:p>
    <w:p w14:paraId="22C37AFE" w14:textId="142285E0" w:rsidR="003E4108" w:rsidRDefault="00A4355E">
      <w:pPr>
        <w:pStyle w:val="TOC5"/>
        <w:tabs>
          <w:tab w:val="right" w:leader="dot" w:pos="9617"/>
        </w:tabs>
        <w:rPr>
          <w:rFonts w:asciiTheme="minorHAnsi" w:eastAsiaTheme="minorEastAsia" w:hAnsiTheme="minorHAnsi"/>
          <w:b w:val="0"/>
          <w:noProof/>
          <w:kern w:val="2"/>
          <w:sz w:val="24"/>
          <w:szCs w:val="24"/>
          <w:lang w:eastAsia="zh-CN"/>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81990338" w:history="1">
        <w:r w:rsidR="003E4108" w:rsidRPr="0086373E">
          <w:rPr>
            <w:rStyle w:val="Hyperlink"/>
            <w:noProof/>
            <w:lang w:val="en-US"/>
          </w:rPr>
          <w:t>Proposal 1: Confirm that L3 measurement requirements will be defined for intra and inter frequency measurements for both with/without measurement gaps.</w:t>
        </w:r>
      </w:hyperlink>
    </w:p>
    <w:p w14:paraId="405234FF" w14:textId="5F655D9B" w:rsidR="003E4108" w:rsidRDefault="00000000">
      <w:pPr>
        <w:pStyle w:val="TOC4"/>
        <w:tabs>
          <w:tab w:val="right" w:leader="dot" w:pos="9617"/>
        </w:tabs>
        <w:rPr>
          <w:rFonts w:asciiTheme="minorHAnsi" w:eastAsiaTheme="minorEastAsia" w:hAnsiTheme="minorHAnsi"/>
          <w:noProof/>
          <w:kern w:val="2"/>
          <w:sz w:val="24"/>
          <w:szCs w:val="24"/>
          <w:lang w:eastAsia="zh-CN"/>
          <w14:ligatures w14:val="standardContextual"/>
        </w:rPr>
      </w:pPr>
      <w:hyperlink w:anchor="_Toc181990339" w:history="1">
        <w:r w:rsidR="003E4108" w:rsidRPr="0086373E">
          <w:rPr>
            <w:rStyle w:val="Hyperlink"/>
            <w:b/>
            <w:noProof/>
            <w:lang w:val="en-US"/>
          </w:rPr>
          <w:t>Observation 1:</w:t>
        </w:r>
        <w:r w:rsidR="003E4108" w:rsidRPr="0086373E">
          <w:rPr>
            <w:rStyle w:val="Hyperlink"/>
            <w:noProof/>
            <w:lang w:val="en-US"/>
          </w:rPr>
          <w:t xml:space="preserve"> In NTN, mobility measurements based on RSRP conditions are not good indicative of movement due to limited “near-far” effect.</w:t>
        </w:r>
      </w:hyperlink>
    </w:p>
    <w:p w14:paraId="2CC7E27F" w14:textId="75D71943" w:rsidR="003E4108"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81990340" w:history="1">
        <w:r w:rsidR="003E4108" w:rsidRPr="0086373E">
          <w:rPr>
            <w:rStyle w:val="Hyperlink"/>
            <w:noProof/>
            <w:lang w:val="en-US"/>
          </w:rPr>
          <w:t>Proposal 2: Adopt the R17 NR NTN Relaxations for GSO. Do not apply RedCap R18 relaxations.</w:t>
        </w:r>
      </w:hyperlink>
    </w:p>
    <w:p w14:paraId="0B48DD09" w14:textId="55294DB6" w:rsidR="003E4108"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81990341" w:history="1">
        <w:r w:rsidR="003E4108" w:rsidRPr="0086373E">
          <w:rPr>
            <w:rStyle w:val="Hyperlink"/>
            <w:noProof/>
            <w:lang w:val="en-US"/>
          </w:rPr>
          <w:t>Proposal 3: Support longer (e)DRX Cycles for LEO scenarios at least for Quasi-Earth Fixed cells.</w:t>
        </w:r>
      </w:hyperlink>
    </w:p>
    <w:p w14:paraId="05544CE8" w14:textId="3E4E8207" w:rsidR="003E4108" w:rsidRDefault="00000000">
      <w:pPr>
        <w:pStyle w:val="TOC4"/>
        <w:tabs>
          <w:tab w:val="right" w:leader="dot" w:pos="9617"/>
        </w:tabs>
        <w:rPr>
          <w:rFonts w:asciiTheme="minorHAnsi" w:eastAsiaTheme="minorEastAsia" w:hAnsiTheme="minorHAnsi"/>
          <w:noProof/>
          <w:kern w:val="2"/>
          <w:sz w:val="24"/>
          <w:szCs w:val="24"/>
          <w:lang w:eastAsia="zh-CN"/>
          <w14:ligatures w14:val="standardContextual"/>
        </w:rPr>
      </w:pPr>
      <w:hyperlink w:anchor="_Toc181990342" w:history="1">
        <w:r w:rsidR="003E4108" w:rsidRPr="0086373E">
          <w:rPr>
            <w:rStyle w:val="Hyperlink"/>
            <w:b/>
            <w:noProof/>
            <w:lang w:val="en-US"/>
          </w:rPr>
          <w:t>Observation 2:</w:t>
        </w:r>
        <w:r w:rsidR="003E4108" w:rsidRPr="0086373E">
          <w:rPr>
            <w:rStyle w:val="Hyperlink"/>
            <w:noProof/>
            <w:lang w:val="en-US"/>
          </w:rPr>
          <w:t xml:space="preserve"> In satellite switching operation, the UE does not perform RACH; increasing the uncertainty in the time the UE leads to perform the measurements will increase the uncertainty on the network scheduling side.</w:t>
        </w:r>
      </w:hyperlink>
    </w:p>
    <w:p w14:paraId="0E172153" w14:textId="5C356071" w:rsidR="003E4108"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81990343" w:history="1">
        <w:r w:rsidR="003E4108" w:rsidRPr="0086373E">
          <w:rPr>
            <w:rStyle w:val="Hyperlink"/>
            <w:noProof/>
            <w:lang w:val="en-US"/>
          </w:rPr>
          <w:t>Proposal 4: Only support hard satellite switching for RedCap UEs</w:t>
        </w:r>
      </w:hyperlink>
    </w:p>
    <w:p w14:paraId="286613BE" w14:textId="4DC3ECA6" w:rsidR="003E4108"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81990344" w:history="1">
        <w:r w:rsidR="003E4108" w:rsidRPr="0086373E">
          <w:rPr>
            <w:rStyle w:val="Hyperlink"/>
            <w:noProof/>
            <w:lang w:val="en-US"/>
          </w:rPr>
          <w:t>Proposal 5: Adopt RedCap subclauses under NTN sections (under Suffix C).</w:t>
        </w:r>
      </w:hyperlink>
    </w:p>
    <w:p w14:paraId="6F102867" w14:textId="580BEB47" w:rsidR="003E4108" w:rsidRDefault="00000000">
      <w:pPr>
        <w:pStyle w:val="TOC5"/>
        <w:tabs>
          <w:tab w:val="right" w:leader="dot" w:pos="9617"/>
        </w:tabs>
        <w:rPr>
          <w:rFonts w:asciiTheme="minorHAnsi" w:eastAsiaTheme="minorEastAsia" w:hAnsiTheme="minorHAnsi"/>
          <w:b w:val="0"/>
          <w:noProof/>
          <w:kern w:val="2"/>
          <w:sz w:val="24"/>
          <w:szCs w:val="24"/>
          <w:lang w:eastAsia="zh-CN"/>
          <w14:ligatures w14:val="standardContextual"/>
        </w:rPr>
      </w:pPr>
      <w:hyperlink w:anchor="_Toc181990345" w:history="1">
        <w:r w:rsidR="003E4108" w:rsidRPr="0086373E">
          <w:rPr>
            <w:rStyle w:val="Hyperlink"/>
            <w:noProof/>
          </w:rPr>
          <w:t xml:space="preserve">Proposal 6: RAN4 to discuss whether a new capability is needed to declare RedCap support of NTN or whether this support is implicit from declaring </w:t>
        </w:r>
        <w:r w:rsidR="003E4108" w:rsidRPr="0086373E">
          <w:rPr>
            <w:rStyle w:val="Hyperlink"/>
            <w:noProof/>
            <w:lang w:val="en-US"/>
          </w:rPr>
          <w:t>support of RedCap (</w:t>
        </w:r>
        <w:r w:rsidR="003E4108" w:rsidRPr="0086373E">
          <w:rPr>
            <w:rStyle w:val="Hyperlink"/>
            <w:bCs/>
            <w:i/>
            <w:noProof/>
          </w:rPr>
          <w:t xml:space="preserve">supportOfRedCap-r17 </w:t>
        </w:r>
        <w:r w:rsidR="003E4108" w:rsidRPr="0086373E">
          <w:rPr>
            <w:rStyle w:val="Hyperlink"/>
            <w:noProof/>
          </w:rPr>
          <w:t xml:space="preserve">or </w:t>
        </w:r>
        <w:r w:rsidR="003E4108" w:rsidRPr="0086373E">
          <w:rPr>
            <w:rStyle w:val="Hyperlink"/>
            <w:bCs/>
            <w:i/>
            <w:noProof/>
            <w:lang w:val="en-US"/>
          </w:rPr>
          <w:t>supportOfERedCap-r18</w:t>
        </w:r>
        <w:r w:rsidR="003E4108" w:rsidRPr="0086373E">
          <w:rPr>
            <w:rStyle w:val="Hyperlink"/>
            <w:noProof/>
            <w:lang w:val="en-US"/>
          </w:rPr>
          <w:t>) AND declare support of NTN (</w:t>
        </w:r>
        <w:r w:rsidR="003E4108" w:rsidRPr="0086373E">
          <w:rPr>
            <w:rStyle w:val="Hyperlink"/>
            <w:i/>
            <w:noProof/>
            <w:lang w:val="en-US"/>
          </w:rPr>
          <w:t>nonTerrestrialNetwork-r17</w:t>
        </w:r>
        <w:r w:rsidR="003E4108" w:rsidRPr="0086373E">
          <w:rPr>
            <w:rStyle w:val="Hyperlink"/>
            <w:noProof/>
            <w:lang w:val="en-US"/>
          </w:rPr>
          <w:t>)</w:t>
        </w:r>
      </w:hyperlink>
    </w:p>
    <w:p w14:paraId="27E570DE" w14:textId="59EAE317" w:rsidR="00847264" w:rsidRPr="00614DD8" w:rsidRDefault="00A4355E" w:rsidP="008C39F7">
      <w:pPr>
        <w:rPr>
          <w:lang w:val="en-US"/>
        </w:rPr>
      </w:pPr>
      <w:r w:rsidRPr="00614DD8">
        <w:rPr>
          <w:lang w:val="en-US"/>
        </w:rPr>
        <w:fldChar w:fldCharType="end"/>
      </w:r>
      <w:bookmarkStart w:id="14" w:name="_Toc116995849"/>
    </w:p>
    <w:p w14:paraId="2827ABCC"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4"/>
    </w:p>
    <w:p w14:paraId="3D567B1F" w14:textId="77777777" w:rsidR="00992CE7" w:rsidRDefault="00992CE7" w:rsidP="00992CE7">
      <w:pPr>
        <w:pStyle w:val="ListParagraph"/>
        <w:numPr>
          <w:ilvl w:val="0"/>
          <w:numId w:val="21"/>
        </w:numPr>
        <w:ind w:right="-22"/>
        <w:rPr>
          <w:lang w:val="en-US"/>
        </w:rPr>
      </w:pPr>
      <w:bookmarkStart w:id="15" w:name="_Ref178945353"/>
      <w:r w:rsidRPr="00E42B45">
        <w:rPr>
          <w:lang w:val="en-US"/>
        </w:rPr>
        <w:t>RP-234078, New WID: Non-Terrestrial Networks (NTN) for NR Phase 3, Huawei</w:t>
      </w:r>
      <w:bookmarkEnd w:id="15"/>
    </w:p>
    <w:p w14:paraId="0DDB9E59" w14:textId="025C1EC8" w:rsidR="00992CE7" w:rsidRPr="00992CE7" w:rsidRDefault="00992CE7" w:rsidP="00992CE7">
      <w:pPr>
        <w:pStyle w:val="ListParagraph"/>
        <w:numPr>
          <w:ilvl w:val="0"/>
          <w:numId w:val="21"/>
        </w:numPr>
        <w:ind w:right="-22"/>
        <w:rPr>
          <w:lang w:val="en-US"/>
        </w:rPr>
      </w:pPr>
      <w:bookmarkStart w:id="16" w:name="_Ref178945346"/>
      <w:r w:rsidRPr="00E42B45">
        <w:rPr>
          <w:lang w:val="en-US"/>
        </w:rPr>
        <w:t>RP-241789</w:t>
      </w:r>
      <w:r>
        <w:rPr>
          <w:lang w:val="en-US"/>
        </w:rPr>
        <w:t xml:space="preserve"> </w:t>
      </w:r>
      <w:r w:rsidRPr="00E42B45">
        <w:rPr>
          <w:lang w:val="en-US"/>
        </w:rPr>
        <w:t>Revised WID: Non-Terrestrial Networks (NTN) for NR Phase 3, Thales, CATT</w:t>
      </w:r>
      <w:bookmarkEnd w:id="16"/>
    </w:p>
    <w:p w14:paraId="14F67EF6" w14:textId="1E7F1F2C" w:rsidR="00E82B94" w:rsidRPr="00203F19" w:rsidRDefault="00992CE7" w:rsidP="00D66188">
      <w:pPr>
        <w:pStyle w:val="ListParagraph"/>
        <w:numPr>
          <w:ilvl w:val="0"/>
          <w:numId w:val="21"/>
        </w:numPr>
        <w:ind w:right="-22"/>
        <w:rPr>
          <w:lang w:val="en-US"/>
        </w:rPr>
      </w:pPr>
      <w:bookmarkStart w:id="17" w:name="_Ref179019130"/>
      <w:r w:rsidRPr="00992CE7">
        <w:t xml:space="preserve">R4-2414037, </w:t>
      </w:r>
      <w:r w:rsidRPr="00992CE7">
        <w:rPr>
          <w:i/>
          <w:iCs/>
        </w:rPr>
        <w:t>"The WF on RRM requirements for Rel-19 NR NTN phase3"</w:t>
      </w:r>
      <w:r w:rsidRPr="00992CE7">
        <w:t>, Moderator (CATT), RAN4 #112, Maastricht, Netherlands, Aug. 19-23, 2024.</w:t>
      </w:r>
      <w:bookmarkEnd w:id="17"/>
    </w:p>
    <w:p w14:paraId="66EE2B69" w14:textId="23414D8D" w:rsidR="00203F19" w:rsidRDefault="00203F19" w:rsidP="00D66188">
      <w:pPr>
        <w:pStyle w:val="ListParagraph"/>
        <w:numPr>
          <w:ilvl w:val="0"/>
          <w:numId w:val="21"/>
        </w:numPr>
        <w:ind w:right="-22"/>
        <w:rPr>
          <w:lang w:val="en-US"/>
        </w:rPr>
      </w:pPr>
      <w:bookmarkStart w:id="18" w:name="_Ref181977965"/>
      <w:r w:rsidRPr="00203F19">
        <w:rPr>
          <w:lang w:val="en-US"/>
        </w:rPr>
        <w:t>R4-2416865</w:t>
      </w:r>
      <w:r>
        <w:rPr>
          <w:lang w:val="en-US"/>
        </w:rPr>
        <w:t>, “</w:t>
      </w:r>
      <w:r w:rsidRPr="00203F19">
        <w:rPr>
          <w:lang w:val="en-US"/>
        </w:rPr>
        <w:t>WF on RRM requirements for NR_NTN_Ph3_Part1</w:t>
      </w:r>
      <w:r>
        <w:rPr>
          <w:lang w:val="en-US"/>
        </w:rPr>
        <w:t xml:space="preserve">”, </w:t>
      </w:r>
      <w:r w:rsidRPr="00203F19">
        <w:rPr>
          <w:lang w:val="en-US"/>
        </w:rPr>
        <w:t>Hefei, China, 14 – 18 October, 2024</w:t>
      </w:r>
      <w:bookmarkEnd w:id="18"/>
    </w:p>
    <w:p w14:paraId="7C04A7B9"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C54C0F" w14:textId="77777777" w:rsidR="00A71857" w:rsidRDefault="00A71857" w:rsidP="00001C9B">
      <w:pPr>
        <w:spacing w:after="0" w:line="240" w:lineRule="auto"/>
      </w:pPr>
      <w:r>
        <w:separator/>
      </w:r>
    </w:p>
  </w:endnote>
  <w:endnote w:type="continuationSeparator" w:id="0">
    <w:p w14:paraId="0679452A" w14:textId="77777777" w:rsidR="00A71857" w:rsidRDefault="00A7185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B212B" w14:textId="77777777" w:rsidR="00A71857" w:rsidRDefault="00A71857" w:rsidP="00001C9B">
      <w:pPr>
        <w:spacing w:after="0" w:line="240" w:lineRule="auto"/>
      </w:pPr>
      <w:r>
        <w:separator/>
      </w:r>
    </w:p>
  </w:footnote>
  <w:footnote w:type="continuationSeparator" w:id="0">
    <w:p w14:paraId="4FC02C0C" w14:textId="77777777" w:rsidR="00A71857" w:rsidRDefault="00A7185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F91C1D"/>
    <w:multiLevelType w:val="multilevel"/>
    <w:tmpl w:val="863E9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4E7511"/>
    <w:multiLevelType w:val="multilevel"/>
    <w:tmpl w:val="AA483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F77902"/>
    <w:multiLevelType w:val="multilevel"/>
    <w:tmpl w:val="095ED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3E670B"/>
    <w:multiLevelType w:val="multilevel"/>
    <w:tmpl w:val="9C4479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E60636"/>
    <w:multiLevelType w:val="multilevel"/>
    <w:tmpl w:val="04F8E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591E63"/>
    <w:multiLevelType w:val="multilevel"/>
    <w:tmpl w:val="C590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30372C"/>
    <w:multiLevelType w:val="hybridMultilevel"/>
    <w:tmpl w:val="C0DE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F60E2"/>
    <w:multiLevelType w:val="multilevel"/>
    <w:tmpl w:val="24624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C17A6"/>
    <w:multiLevelType w:val="hybridMultilevel"/>
    <w:tmpl w:val="BF0CE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9750A"/>
    <w:multiLevelType w:val="multilevel"/>
    <w:tmpl w:val="B6FC5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46255C"/>
    <w:multiLevelType w:val="multilevel"/>
    <w:tmpl w:val="CAC0AB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0D6430"/>
    <w:multiLevelType w:val="multilevel"/>
    <w:tmpl w:val="A1C81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783C64"/>
    <w:multiLevelType w:val="hybridMultilevel"/>
    <w:tmpl w:val="04E04C0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B2223D"/>
    <w:multiLevelType w:val="multilevel"/>
    <w:tmpl w:val="66646C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EF202C"/>
    <w:multiLevelType w:val="multilevel"/>
    <w:tmpl w:val="F84E5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AC77E1"/>
    <w:multiLevelType w:val="multilevel"/>
    <w:tmpl w:val="A8FEB7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1A3A47"/>
    <w:multiLevelType w:val="multilevel"/>
    <w:tmpl w:val="E3444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A382233"/>
    <w:multiLevelType w:val="multilevel"/>
    <w:tmpl w:val="5C7EBF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4664B5"/>
    <w:multiLevelType w:val="multilevel"/>
    <w:tmpl w:val="8A0A3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740F67"/>
    <w:multiLevelType w:val="multilevel"/>
    <w:tmpl w:val="1A42D1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1"/>
  </w:num>
  <w:num w:numId="2" w16cid:durableId="1469392472">
    <w:abstractNumId w:val="13"/>
  </w:num>
  <w:num w:numId="3" w16cid:durableId="1792749823">
    <w:abstractNumId w:val="22"/>
  </w:num>
  <w:num w:numId="4" w16cid:durableId="517735681">
    <w:abstractNumId w:val="12"/>
  </w:num>
  <w:num w:numId="5" w16cid:durableId="1142041724">
    <w:abstractNumId w:val="30"/>
  </w:num>
  <w:num w:numId="6" w16cid:durableId="80681869">
    <w:abstractNumId w:val="18"/>
  </w:num>
  <w:num w:numId="7" w16cid:durableId="1566528953">
    <w:abstractNumId w:val="20"/>
  </w:num>
  <w:num w:numId="8" w16cid:durableId="809788981">
    <w:abstractNumId w:val="20"/>
    <w:lvlOverride w:ilvl="0">
      <w:startOverride w:val="1"/>
    </w:lvlOverride>
  </w:num>
  <w:num w:numId="9" w16cid:durableId="1398822153">
    <w:abstractNumId w:val="20"/>
    <w:lvlOverride w:ilvl="0">
      <w:startOverride w:val="1"/>
    </w:lvlOverride>
  </w:num>
  <w:num w:numId="10" w16cid:durableId="1825466284">
    <w:abstractNumId w:val="20"/>
    <w:lvlOverride w:ilvl="0">
      <w:startOverride w:val="1"/>
    </w:lvlOverride>
  </w:num>
  <w:num w:numId="11" w16cid:durableId="1446922321">
    <w:abstractNumId w:val="18"/>
    <w:lvlOverride w:ilvl="0">
      <w:startOverride w:val="1"/>
    </w:lvlOverride>
  </w:num>
  <w:num w:numId="12" w16cid:durableId="122584543">
    <w:abstractNumId w:val="20"/>
    <w:lvlOverride w:ilvl="0">
      <w:startOverride w:val="1"/>
    </w:lvlOverride>
  </w:num>
  <w:num w:numId="13" w16cid:durableId="818807267">
    <w:abstractNumId w:val="18"/>
    <w:lvlOverride w:ilvl="0">
      <w:startOverride w:val="1"/>
    </w:lvlOverride>
  </w:num>
  <w:num w:numId="14" w16cid:durableId="883829348">
    <w:abstractNumId w:val="20"/>
    <w:lvlOverride w:ilvl="0">
      <w:startOverride w:val="1"/>
    </w:lvlOverride>
  </w:num>
  <w:num w:numId="15" w16cid:durableId="438372887">
    <w:abstractNumId w:val="32"/>
  </w:num>
  <w:num w:numId="16" w16cid:durableId="516113510">
    <w:abstractNumId w:val="9"/>
  </w:num>
  <w:num w:numId="17" w16cid:durableId="1456096507">
    <w:abstractNumId w:val="29"/>
  </w:num>
  <w:num w:numId="18" w16cid:durableId="1397970374">
    <w:abstractNumId w:val="2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7"/>
  </w:num>
  <w:num w:numId="22" w16cid:durableId="1938362445">
    <w:abstractNumId w:val="18"/>
    <w:lvlOverride w:ilvl="0">
      <w:startOverride w:val="1"/>
    </w:lvlOverride>
  </w:num>
  <w:num w:numId="23" w16cid:durableId="913515990">
    <w:abstractNumId w:val="20"/>
    <w:lvlOverride w:ilvl="0">
      <w:startOverride w:val="1"/>
    </w:lvlOverride>
  </w:num>
  <w:num w:numId="24" w16cid:durableId="978418003">
    <w:abstractNumId w:val="6"/>
  </w:num>
  <w:num w:numId="25" w16cid:durableId="143009612">
    <w:abstractNumId w:val="0"/>
  </w:num>
  <w:num w:numId="26" w16cid:durableId="212620654">
    <w:abstractNumId w:val="0"/>
    <w:lvlOverride w:ilvl="0">
      <w:startOverride w:val="1"/>
    </w:lvlOverride>
  </w:num>
  <w:num w:numId="27" w16cid:durableId="2006199235">
    <w:abstractNumId w:val="23"/>
  </w:num>
  <w:num w:numId="28" w16cid:durableId="867915369">
    <w:abstractNumId w:val="8"/>
  </w:num>
  <w:num w:numId="29" w16cid:durableId="2050764916">
    <w:abstractNumId w:val="19"/>
  </w:num>
  <w:num w:numId="30" w16cid:durableId="1771970381">
    <w:abstractNumId w:val="2"/>
  </w:num>
  <w:num w:numId="31" w16cid:durableId="715277433">
    <w:abstractNumId w:val="33"/>
  </w:num>
  <w:num w:numId="32" w16cid:durableId="1437604140">
    <w:abstractNumId w:val="11"/>
  </w:num>
  <w:num w:numId="33" w16cid:durableId="1698850042">
    <w:abstractNumId w:val="28"/>
  </w:num>
  <w:num w:numId="34" w16cid:durableId="533233022">
    <w:abstractNumId w:val="7"/>
  </w:num>
  <w:num w:numId="35" w16cid:durableId="943151521">
    <w:abstractNumId w:val="5"/>
  </w:num>
  <w:num w:numId="36" w16cid:durableId="252059124">
    <w:abstractNumId w:val="24"/>
  </w:num>
  <w:num w:numId="37" w16cid:durableId="1222136866">
    <w:abstractNumId w:val="25"/>
  </w:num>
  <w:num w:numId="38" w16cid:durableId="614018834">
    <w:abstractNumId w:val="31"/>
  </w:num>
  <w:num w:numId="39" w16cid:durableId="1566645214">
    <w:abstractNumId w:val="4"/>
  </w:num>
  <w:num w:numId="40" w16cid:durableId="1907109046">
    <w:abstractNumId w:val="16"/>
  </w:num>
  <w:num w:numId="41" w16cid:durableId="1959488889">
    <w:abstractNumId w:val="3"/>
  </w:num>
  <w:num w:numId="42" w16cid:durableId="846671508">
    <w:abstractNumId w:val="34"/>
  </w:num>
  <w:num w:numId="43" w16cid:durableId="321662082">
    <w:abstractNumId w:val="15"/>
  </w:num>
  <w:num w:numId="44" w16cid:durableId="194316087">
    <w:abstractNumId w:val="21"/>
  </w:num>
  <w:num w:numId="45" w16cid:durableId="599415540">
    <w:abstractNumId w:val="10"/>
  </w:num>
  <w:num w:numId="46" w16cid:durableId="1892419808">
    <w:abstractNumId w:val="14"/>
  </w:num>
  <w:num w:numId="47" w16cid:durableId="42233719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13F98"/>
    <w:rsid w:val="00001C9B"/>
    <w:rsid w:val="000040DC"/>
    <w:rsid w:val="00011784"/>
    <w:rsid w:val="00013F98"/>
    <w:rsid w:val="000151EF"/>
    <w:rsid w:val="000239F5"/>
    <w:rsid w:val="00026733"/>
    <w:rsid w:val="00072CCA"/>
    <w:rsid w:val="0008612A"/>
    <w:rsid w:val="00090E18"/>
    <w:rsid w:val="000A10BC"/>
    <w:rsid w:val="000A7F53"/>
    <w:rsid w:val="000B0056"/>
    <w:rsid w:val="000B058F"/>
    <w:rsid w:val="000C3C7B"/>
    <w:rsid w:val="000D0F93"/>
    <w:rsid w:val="00106416"/>
    <w:rsid w:val="00110481"/>
    <w:rsid w:val="001127C9"/>
    <w:rsid w:val="00114498"/>
    <w:rsid w:val="00115B88"/>
    <w:rsid w:val="00132F6A"/>
    <w:rsid w:val="00133913"/>
    <w:rsid w:val="00140221"/>
    <w:rsid w:val="001642FC"/>
    <w:rsid w:val="0016496B"/>
    <w:rsid w:val="00170BB7"/>
    <w:rsid w:val="001743E2"/>
    <w:rsid w:val="001745F8"/>
    <w:rsid w:val="001838CF"/>
    <w:rsid w:val="001868EE"/>
    <w:rsid w:val="001A3BA4"/>
    <w:rsid w:val="001A6D1F"/>
    <w:rsid w:val="001B1EA8"/>
    <w:rsid w:val="001E30F6"/>
    <w:rsid w:val="00203F19"/>
    <w:rsid w:val="00217EE5"/>
    <w:rsid w:val="00235F5C"/>
    <w:rsid w:val="00257FA3"/>
    <w:rsid w:val="00262BF4"/>
    <w:rsid w:val="00277B56"/>
    <w:rsid w:val="00282A74"/>
    <w:rsid w:val="002849D4"/>
    <w:rsid w:val="002A19F5"/>
    <w:rsid w:val="002B4922"/>
    <w:rsid w:val="002B69F3"/>
    <w:rsid w:val="002C22C3"/>
    <w:rsid w:val="002C2D19"/>
    <w:rsid w:val="002D10FA"/>
    <w:rsid w:val="002D4C55"/>
    <w:rsid w:val="002E6DED"/>
    <w:rsid w:val="00300956"/>
    <w:rsid w:val="00301AFB"/>
    <w:rsid w:val="00304D57"/>
    <w:rsid w:val="00317187"/>
    <w:rsid w:val="0032499A"/>
    <w:rsid w:val="003341F7"/>
    <w:rsid w:val="00347FEC"/>
    <w:rsid w:val="003509DF"/>
    <w:rsid w:val="00356F45"/>
    <w:rsid w:val="00366B74"/>
    <w:rsid w:val="003774C0"/>
    <w:rsid w:val="00381F95"/>
    <w:rsid w:val="00390D23"/>
    <w:rsid w:val="003A441D"/>
    <w:rsid w:val="003A710A"/>
    <w:rsid w:val="003B659E"/>
    <w:rsid w:val="003C275E"/>
    <w:rsid w:val="003C4FDE"/>
    <w:rsid w:val="003E4108"/>
    <w:rsid w:val="003E58DF"/>
    <w:rsid w:val="003F3A19"/>
    <w:rsid w:val="00404C4C"/>
    <w:rsid w:val="00413893"/>
    <w:rsid w:val="0041423F"/>
    <w:rsid w:val="00414F81"/>
    <w:rsid w:val="00422F66"/>
    <w:rsid w:val="00436A0F"/>
    <w:rsid w:val="00437150"/>
    <w:rsid w:val="0043750A"/>
    <w:rsid w:val="00447577"/>
    <w:rsid w:val="004732E9"/>
    <w:rsid w:val="004854BB"/>
    <w:rsid w:val="00494493"/>
    <w:rsid w:val="00496606"/>
    <w:rsid w:val="004E5659"/>
    <w:rsid w:val="004E5E66"/>
    <w:rsid w:val="004E7ADB"/>
    <w:rsid w:val="00503B4D"/>
    <w:rsid w:val="00504EE9"/>
    <w:rsid w:val="00514E4F"/>
    <w:rsid w:val="00521576"/>
    <w:rsid w:val="005250E6"/>
    <w:rsid w:val="00542D23"/>
    <w:rsid w:val="0054442C"/>
    <w:rsid w:val="00550285"/>
    <w:rsid w:val="00562492"/>
    <w:rsid w:val="00564938"/>
    <w:rsid w:val="00572A20"/>
    <w:rsid w:val="00581618"/>
    <w:rsid w:val="005836F8"/>
    <w:rsid w:val="005918FA"/>
    <w:rsid w:val="00592A86"/>
    <w:rsid w:val="005B3029"/>
    <w:rsid w:val="005B4801"/>
    <w:rsid w:val="005B4D2D"/>
    <w:rsid w:val="005C23A4"/>
    <w:rsid w:val="005D1CDF"/>
    <w:rsid w:val="005D2BB7"/>
    <w:rsid w:val="005D6FFE"/>
    <w:rsid w:val="005E0A11"/>
    <w:rsid w:val="005E61A8"/>
    <w:rsid w:val="005F6419"/>
    <w:rsid w:val="0060301D"/>
    <w:rsid w:val="0060543D"/>
    <w:rsid w:val="006104DD"/>
    <w:rsid w:val="006130B5"/>
    <w:rsid w:val="00614DD8"/>
    <w:rsid w:val="00617400"/>
    <w:rsid w:val="00632D29"/>
    <w:rsid w:val="00637DD7"/>
    <w:rsid w:val="00664950"/>
    <w:rsid w:val="00683220"/>
    <w:rsid w:val="00687FA0"/>
    <w:rsid w:val="006A3C11"/>
    <w:rsid w:val="006A3DFF"/>
    <w:rsid w:val="006B042B"/>
    <w:rsid w:val="006B7010"/>
    <w:rsid w:val="006C3095"/>
    <w:rsid w:val="006E1151"/>
    <w:rsid w:val="006E6311"/>
    <w:rsid w:val="0071260B"/>
    <w:rsid w:val="007145FF"/>
    <w:rsid w:val="00715B2A"/>
    <w:rsid w:val="00733B21"/>
    <w:rsid w:val="007450F1"/>
    <w:rsid w:val="00751515"/>
    <w:rsid w:val="007626B7"/>
    <w:rsid w:val="0078212B"/>
    <w:rsid w:val="00784DF6"/>
    <w:rsid w:val="00785232"/>
    <w:rsid w:val="00786EB2"/>
    <w:rsid w:val="0079733F"/>
    <w:rsid w:val="007A2588"/>
    <w:rsid w:val="007B186C"/>
    <w:rsid w:val="007C1696"/>
    <w:rsid w:val="007C3ED0"/>
    <w:rsid w:val="007C48C4"/>
    <w:rsid w:val="007C5971"/>
    <w:rsid w:val="007E42DC"/>
    <w:rsid w:val="007F54B9"/>
    <w:rsid w:val="00806A76"/>
    <w:rsid w:val="00811C9D"/>
    <w:rsid w:val="00814997"/>
    <w:rsid w:val="00816C80"/>
    <w:rsid w:val="0081767E"/>
    <w:rsid w:val="0081797B"/>
    <w:rsid w:val="0082796A"/>
    <w:rsid w:val="0083707A"/>
    <w:rsid w:val="00841BCD"/>
    <w:rsid w:val="00847264"/>
    <w:rsid w:val="00851A8E"/>
    <w:rsid w:val="0085365B"/>
    <w:rsid w:val="008826C1"/>
    <w:rsid w:val="00883DFD"/>
    <w:rsid w:val="0089210C"/>
    <w:rsid w:val="00893D2E"/>
    <w:rsid w:val="008A1BF7"/>
    <w:rsid w:val="008A5B0E"/>
    <w:rsid w:val="008B0961"/>
    <w:rsid w:val="008C39F7"/>
    <w:rsid w:val="008C78BF"/>
    <w:rsid w:val="008E1AFE"/>
    <w:rsid w:val="0090091A"/>
    <w:rsid w:val="0090373B"/>
    <w:rsid w:val="009042BD"/>
    <w:rsid w:val="00904FE4"/>
    <w:rsid w:val="00927740"/>
    <w:rsid w:val="00936159"/>
    <w:rsid w:val="00953DC0"/>
    <w:rsid w:val="00956A42"/>
    <w:rsid w:val="00977E1D"/>
    <w:rsid w:val="009828C2"/>
    <w:rsid w:val="00992CE7"/>
    <w:rsid w:val="009B0573"/>
    <w:rsid w:val="009B7B4B"/>
    <w:rsid w:val="009B7C21"/>
    <w:rsid w:val="009E38FD"/>
    <w:rsid w:val="009E4E6E"/>
    <w:rsid w:val="009F0562"/>
    <w:rsid w:val="00A04992"/>
    <w:rsid w:val="00A147AA"/>
    <w:rsid w:val="00A21D71"/>
    <w:rsid w:val="00A22B78"/>
    <w:rsid w:val="00A246F7"/>
    <w:rsid w:val="00A25AE5"/>
    <w:rsid w:val="00A26442"/>
    <w:rsid w:val="00A37002"/>
    <w:rsid w:val="00A4355E"/>
    <w:rsid w:val="00A520D9"/>
    <w:rsid w:val="00A64DA0"/>
    <w:rsid w:val="00A71857"/>
    <w:rsid w:val="00A744B3"/>
    <w:rsid w:val="00A92BCD"/>
    <w:rsid w:val="00AA1B0E"/>
    <w:rsid w:val="00AA47B6"/>
    <w:rsid w:val="00AC163B"/>
    <w:rsid w:val="00AC5CA7"/>
    <w:rsid w:val="00AC6058"/>
    <w:rsid w:val="00AE2BA5"/>
    <w:rsid w:val="00AE56B1"/>
    <w:rsid w:val="00AE6D09"/>
    <w:rsid w:val="00AF7A7C"/>
    <w:rsid w:val="00B02070"/>
    <w:rsid w:val="00B147EB"/>
    <w:rsid w:val="00B365B9"/>
    <w:rsid w:val="00B408B6"/>
    <w:rsid w:val="00B542DA"/>
    <w:rsid w:val="00B573BA"/>
    <w:rsid w:val="00B66B7D"/>
    <w:rsid w:val="00B73862"/>
    <w:rsid w:val="00B73E0D"/>
    <w:rsid w:val="00B73F43"/>
    <w:rsid w:val="00B75BBF"/>
    <w:rsid w:val="00B81CDC"/>
    <w:rsid w:val="00BA308C"/>
    <w:rsid w:val="00BA6B66"/>
    <w:rsid w:val="00BA6E48"/>
    <w:rsid w:val="00BC43D4"/>
    <w:rsid w:val="00BE0AF6"/>
    <w:rsid w:val="00BE1F03"/>
    <w:rsid w:val="00BE58A7"/>
    <w:rsid w:val="00BF2218"/>
    <w:rsid w:val="00BF67EE"/>
    <w:rsid w:val="00C0426B"/>
    <w:rsid w:val="00C045DF"/>
    <w:rsid w:val="00C26D43"/>
    <w:rsid w:val="00C35173"/>
    <w:rsid w:val="00C46548"/>
    <w:rsid w:val="00C574D5"/>
    <w:rsid w:val="00C5751D"/>
    <w:rsid w:val="00C73F32"/>
    <w:rsid w:val="00C87462"/>
    <w:rsid w:val="00CA0833"/>
    <w:rsid w:val="00CA180C"/>
    <w:rsid w:val="00CB22B2"/>
    <w:rsid w:val="00CC3EE2"/>
    <w:rsid w:val="00CD7492"/>
    <w:rsid w:val="00CE3A6B"/>
    <w:rsid w:val="00D00211"/>
    <w:rsid w:val="00D006D1"/>
    <w:rsid w:val="00D025AE"/>
    <w:rsid w:val="00D06309"/>
    <w:rsid w:val="00D2145A"/>
    <w:rsid w:val="00D351EA"/>
    <w:rsid w:val="00D40288"/>
    <w:rsid w:val="00D43403"/>
    <w:rsid w:val="00D50A6B"/>
    <w:rsid w:val="00D5270B"/>
    <w:rsid w:val="00D62E71"/>
    <w:rsid w:val="00D6430D"/>
    <w:rsid w:val="00D66188"/>
    <w:rsid w:val="00D731F6"/>
    <w:rsid w:val="00D740CA"/>
    <w:rsid w:val="00D75615"/>
    <w:rsid w:val="00D85728"/>
    <w:rsid w:val="00D95481"/>
    <w:rsid w:val="00DC7A13"/>
    <w:rsid w:val="00DE7064"/>
    <w:rsid w:val="00DF2997"/>
    <w:rsid w:val="00E10BC4"/>
    <w:rsid w:val="00E1415D"/>
    <w:rsid w:val="00E17F7B"/>
    <w:rsid w:val="00E213BD"/>
    <w:rsid w:val="00E25721"/>
    <w:rsid w:val="00E323E9"/>
    <w:rsid w:val="00E32FB6"/>
    <w:rsid w:val="00E34018"/>
    <w:rsid w:val="00E437D2"/>
    <w:rsid w:val="00E43BF9"/>
    <w:rsid w:val="00E47BC6"/>
    <w:rsid w:val="00E5069F"/>
    <w:rsid w:val="00E51930"/>
    <w:rsid w:val="00E55751"/>
    <w:rsid w:val="00E7398E"/>
    <w:rsid w:val="00E82B94"/>
    <w:rsid w:val="00E97329"/>
    <w:rsid w:val="00EA2311"/>
    <w:rsid w:val="00EC332B"/>
    <w:rsid w:val="00EC7BC3"/>
    <w:rsid w:val="00ED7600"/>
    <w:rsid w:val="00EF6073"/>
    <w:rsid w:val="00EF698B"/>
    <w:rsid w:val="00F1362C"/>
    <w:rsid w:val="00F36A8A"/>
    <w:rsid w:val="00F414F1"/>
    <w:rsid w:val="00F508B8"/>
    <w:rsid w:val="00F72CB1"/>
    <w:rsid w:val="00F8215E"/>
    <w:rsid w:val="00F824F5"/>
    <w:rsid w:val="00F90FAB"/>
    <w:rsid w:val="00F9374D"/>
    <w:rsid w:val="00FB6924"/>
    <w:rsid w:val="00FB774F"/>
    <w:rsid w:val="00FC29B9"/>
    <w:rsid w:val="00FC6FD3"/>
    <w:rsid w:val="00FE0E1C"/>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553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F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A744B3"/>
    <w:pPr>
      <w:tabs>
        <w:tab w:val="center" w:pos="4819"/>
        <w:tab w:val="right" w:pos="9638"/>
      </w:tabs>
      <w:spacing w:after="0" w:line="240" w:lineRule="auto"/>
    </w:pPr>
  </w:style>
  <w:style w:type="character" w:customStyle="1" w:styleId="HeaderChar">
    <w:name w:val="Header Char"/>
    <w:basedOn w:val="DefaultParagraphFont"/>
    <w:link w:val="Header"/>
    <w:uiPriority w:val="99"/>
    <w:rsid w:val="00A744B3"/>
    <w:rPr>
      <w:rFonts w:ascii="Times New Roman" w:hAnsi="Times New Roman"/>
      <w:sz w:val="20"/>
      <w:lang w:val="en-GB"/>
    </w:rPr>
  </w:style>
  <w:style w:type="paragraph" w:styleId="Footer">
    <w:name w:val="footer"/>
    <w:basedOn w:val="Normal"/>
    <w:link w:val="FooterChar"/>
    <w:uiPriority w:val="99"/>
    <w:unhideWhenUsed/>
    <w:rsid w:val="00A744B3"/>
    <w:pPr>
      <w:tabs>
        <w:tab w:val="center" w:pos="4819"/>
        <w:tab w:val="right" w:pos="9638"/>
      </w:tabs>
      <w:spacing w:after="0" w:line="240" w:lineRule="auto"/>
    </w:pPr>
  </w:style>
  <w:style w:type="character" w:customStyle="1" w:styleId="FooterChar">
    <w:name w:val="Footer Char"/>
    <w:basedOn w:val="DefaultParagraphFont"/>
    <w:link w:val="Footer"/>
    <w:uiPriority w:val="99"/>
    <w:rsid w:val="00A744B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764037">
      <w:bodyDiv w:val="1"/>
      <w:marLeft w:val="0"/>
      <w:marRight w:val="0"/>
      <w:marTop w:val="0"/>
      <w:marBottom w:val="0"/>
      <w:divBdr>
        <w:top w:val="none" w:sz="0" w:space="0" w:color="auto"/>
        <w:left w:val="none" w:sz="0" w:space="0" w:color="auto"/>
        <w:bottom w:val="none" w:sz="0" w:space="0" w:color="auto"/>
        <w:right w:val="none" w:sz="0" w:space="0" w:color="auto"/>
      </w:divBdr>
    </w:div>
    <w:div w:id="859971578">
      <w:bodyDiv w:val="1"/>
      <w:marLeft w:val="0"/>
      <w:marRight w:val="0"/>
      <w:marTop w:val="0"/>
      <w:marBottom w:val="0"/>
      <w:divBdr>
        <w:top w:val="none" w:sz="0" w:space="0" w:color="auto"/>
        <w:left w:val="none" w:sz="0" w:space="0" w:color="auto"/>
        <w:bottom w:val="none" w:sz="0" w:space="0" w:color="auto"/>
        <w:right w:val="none" w:sz="0" w:space="0" w:color="auto"/>
      </w:divBdr>
    </w:div>
    <w:div w:id="888300072">
      <w:bodyDiv w:val="1"/>
      <w:marLeft w:val="0"/>
      <w:marRight w:val="0"/>
      <w:marTop w:val="0"/>
      <w:marBottom w:val="0"/>
      <w:divBdr>
        <w:top w:val="none" w:sz="0" w:space="0" w:color="auto"/>
        <w:left w:val="none" w:sz="0" w:space="0" w:color="auto"/>
        <w:bottom w:val="none" w:sz="0" w:space="0" w:color="auto"/>
        <w:right w:val="none" w:sz="0" w:space="0" w:color="auto"/>
      </w:divBdr>
    </w:div>
    <w:div w:id="1178814978">
      <w:bodyDiv w:val="1"/>
      <w:marLeft w:val="0"/>
      <w:marRight w:val="0"/>
      <w:marTop w:val="0"/>
      <w:marBottom w:val="0"/>
      <w:divBdr>
        <w:top w:val="none" w:sz="0" w:space="0" w:color="auto"/>
        <w:left w:val="none" w:sz="0" w:space="0" w:color="auto"/>
        <w:bottom w:val="none" w:sz="0" w:space="0" w:color="auto"/>
        <w:right w:val="none" w:sz="0" w:space="0" w:color="auto"/>
      </w:divBdr>
    </w:div>
    <w:div w:id="1381393491">
      <w:bodyDiv w:val="1"/>
      <w:marLeft w:val="0"/>
      <w:marRight w:val="0"/>
      <w:marTop w:val="0"/>
      <w:marBottom w:val="0"/>
      <w:divBdr>
        <w:top w:val="none" w:sz="0" w:space="0" w:color="auto"/>
        <w:left w:val="none" w:sz="0" w:space="0" w:color="auto"/>
        <w:bottom w:val="none" w:sz="0" w:space="0" w:color="auto"/>
        <w:right w:val="none" w:sz="0" w:space="0" w:color="auto"/>
      </w:divBdr>
    </w:div>
    <w:div w:id="1712146301">
      <w:bodyDiv w:val="1"/>
      <w:marLeft w:val="0"/>
      <w:marRight w:val="0"/>
      <w:marTop w:val="0"/>
      <w:marBottom w:val="0"/>
      <w:divBdr>
        <w:top w:val="none" w:sz="0" w:space="0" w:color="auto"/>
        <w:left w:val="none" w:sz="0" w:space="0" w:color="auto"/>
        <w:bottom w:val="none" w:sz="0" w:space="0" w:color="auto"/>
        <w:right w:val="none" w:sz="0" w:space="0" w:color="auto"/>
      </w:divBdr>
    </w:div>
    <w:div w:id="1879970746">
      <w:bodyDiv w:val="1"/>
      <w:marLeft w:val="0"/>
      <w:marRight w:val="0"/>
      <w:marTop w:val="0"/>
      <w:marBottom w:val="0"/>
      <w:divBdr>
        <w:top w:val="none" w:sz="0" w:space="0" w:color="auto"/>
        <w:left w:val="none" w:sz="0" w:space="0" w:color="auto"/>
        <w:bottom w:val="none" w:sz="0" w:space="0" w:color="auto"/>
        <w:right w:val="none" w:sz="0" w:space="0" w:color="auto"/>
      </w:divBdr>
    </w:div>
    <w:div w:id="208078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1809</Words>
  <Characters>10316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2024-11-08T19:31:00Z</dcterms:created>
  <dcterms:modified xsi:type="dcterms:W3CDTF">2024-11-08T19:44:00Z</dcterms:modified>
</cp:coreProperties>
</file>